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0479B" w14:textId="45F2FC37" w:rsidR="007271AD" w:rsidRPr="004945E1" w:rsidRDefault="00FB26D9">
      <w:pPr>
        <w:jc w:val="center"/>
        <w:rPr>
          <w:b/>
          <w:color w:val="C45911" w:themeColor="accent2" w:themeShade="BF"/>
          <w:sz w:val="40"/>
          <w:lang w:val="es-VE"/>
        </w:rPr>
      </w:pPr>
      <w:r w:rsidRPr="004945E1">
        <w:rPr>
          <w:b/>
          <w:color w:val="C45911" w:themeColor="accent2" w:themeShade="BF"/>
          <w:sz w:val="40"/>
          <w:lang w:val="es-VE"/>
        </w:rPr>
        <w:t>Three County Continuum of Care</w:t>
      </w:r>
    </w:p>
    <w:p w14:paraId="15C29F7A" w14:textId="7BD6B0E6" w:rsidR="007271AD" w:rsidRPr="004945E1" w:rsidRDefault="00FB26D9">
      <w:pPr>
        <w:jc w:val="center"/>
        <w:rPr>
          <w:b/>
          <w:color w:val="C45911" w:themeColor="accent2" w:themeShade="BF"/>
          <w:sz w:val="40"/>
          <w:lang w:val="es-VE"/>
        </w:rPr>
      </w:pPr>
      <w:r w:rsidRPr="004945E1">
        <w:rPr>
          <w:b/>
          <w:color w:val="C45911" w:themeColor="accent2" w:themeShade="BF"/>
          <w:sz w:val="40"/>
          <w:lang w:val="es-VE"/>
        </w:rPr>
        <w:t xml:space="preserve">Guía </w:t>
      </w:r>
      <w:r w:rsidR="00E4610B" w:rsidRPr="004945E1">
        <w:rPr>
          <w:b/>
          <w:color w:val="C45911" w:themeColor="accent2" w:themeShade="BF"/>
          <w:sz w:val="40"/>
          <w:lang w:val="es-VE"/>
        </w:rPr>
        <w:t>C</w:t>
      </w:r>
      <w:r w:rsidRPr="004945E1">
        <w:rPr>
          <w:b/>
          <w:color w:val="C45911" w:themeColor="accent2" w:themeShade="BF"/>
          <w:sz w:val="40"/>
          <w:lang w:val="es-VE"/>
        </w:rPr>
        <w:t xml:space="preserve">omplementaria de la </w:t>
      </w:r>
      <w:r w:rsidR="00E4610B" w:rsidRPr="004945E1">
        <w:rPr>
          <w:b/>
          <w:color w:val="C45911" w:themeColor="accent2" w:themeShade="BF"/>
          <w:sz w:val="40"/>
          <w:lang w:val="es-VE"/>
        </w:rPr>
        <w:t>H</w:t>
      </w:r>
      <w:r w:rsidRPr="004945E1">
        <w:rPr>
          <w:b/>
          <w:color w:val="C45911" w:themeColor="accent2" w:themeShade="BF"/>
          <w:sz w:val="40"/>
          <w:lang w:val="es-VE"/>
        </w:rPr>
        <w:t xml:space="preserve">erramienta </w:t>
      </w:r>
      <w:r w:rsidR="00E4610B" w:rsidRPr="004945E1">
        <w:rPr>
          <w:b/>
          <w:color w:val="C45911" w:themeColor="accent2" w:themeShade="BF"/>
          <w:sz w:val="40"/>
          <w:lang w:val="es-VE"/>
        </w:rPr>
        <w:t>para la</w:t>
      </w:r>
      <w:r w:rsidRPr="004945E1">
        <w:rPr>
          <w:b/>
          <w:color w:val="C45911" w:themeColor="accent2" w:themeShade="BF"/>
          <w:sz w:val="40"/>
          <w:lang w:val="es-VE"/>
        </w:rPr>
        <w:t xml:space="preserve"> </w:t>
      </w:r>
      <w:r w:rsidR="00E4610B" w:rsidRPr="004945E1">
        <w:rPr>
          <w:b/>
          <w:color w:val="C45911" w:themeColor="accent2" w:themeShade="BF"/>
          <w:sz w:val="40"/>
          <w:lang w:val="es-VE"/>
        </w:rPr>
        <w:t>E</w:t>
      </w:r>
      <w:r w:rsidRPr="004945E1">
        <w:rPr>
          <w:b/>
          <w:color w:val="C45911" w:themeColor="accent2" w:themeShade="BF"/>
          <w:sz w:val="40"/>
          <w:lang w:val="es-VE"/>
        </w:rPr>
        <w:t xml:space="preserve">valuación de </w:t>
      </w:r>
      <w:r w:rsidR="00E4610B" w:rsidRPr="004945E1">
        <w:rPr>
          <w:b/>
          <w:color w:val="C45911" w:themeColor="accent2" w:themeShade="BF"/>
          <w:sz w:val="40"/>
          <w:lang w:val="es-VE"/>
        </w:rPr>
        <w:t>E</w:t>
      </w:r>
      <w:r w:rsidRPr="004945E1">
        <w:rPr>
          <w:b/>
          <w:color w:val="C45911" w:themeColor="accent2" w:themeShade="BF"/>
          <w:sz w:val="40"/>
          <w:lang w:val="es-VE"/>
        </w:rPr>
        <w:t xml:space="preserve">ntrada </w:t>
      </w:r>
      <w:r w:rsidR="00E4610B" w:rsidRPr="004945E1">
        <w:rPr>
          <w:b/>
          <w:color w:val="C45911" w:themeColor="accent2" w:themeShade="BF"/>
          <w:sz w:val="40"/>
          <w:lang w:val="es-VE"/>
        </w:rPr>
        <w:t>C</w:t>
      </w:r>
      <w:r w:rsidRPr="004945E1">
        <w:rPr>
          <w:b/>
          <w:color w:val="C45911" w:themeColor="accent2" w:themeShade="BF"/>
          <w:sz w:val="40"/>
          <w:lang w:val="es-VE"/>
        </w:rPr>
        <w:t>oordinada</w:t>
      </w:r>
    </w:p>
    <w:p w14:paraId="01B1295C" w14:textId="3EF12A36" w:rsidR="007271AD" w:rsidRPr="004945E1" w:rsidRDefault="00FB26D9">
      <w:pPr>
        <w:jc w:val="center"/>
        <w:rPr>
          <w:b/>
          <w:color w:val="C45911" w:themeColor="accent2" w:themeShade="BF"/>
          <w:lang w:val="es-VE"/>
        </w:rPr>
      </w:pPr>
      <w:r w:rsidRPr="004945E1">
        <w:rPr>
          <w:b/>
          <w:color w:val="C45911" w:themeColor="accent2" w:themeShade="BF"/>
          <w:lang w:val="es-VE"/>
        </w:rPr>
        <w:t>Enero de 2022</w:t>
      </w:r>
    </w:p>
    <w:p w14:paraId="44ED2824" w14:textId="77777777" w:rsidR="007271AD" w:rsidRPr="004945E1" w:rsidRDefault="007271AD">
      <w:pPr>
        <w:jc w:val="center"/>
        <w:rPr>
          <w:b/>
          <w:color w:val="C45911" w:themeColor="accent2" w:themeShade="BF"/>
          <w:lang w:val="es-VE"/>
        </w:rPr>
      </w:pPr>
    </w:p>
    <w:p w14:paraId="32C030B0" w14:textId="77777777" w:rsidR="007271AD" w:rsidRPr="004945E1" w:rsidRDefault="00FB26D9">
      <w:pPr>
        <w:pStyle w:val="TOCHeading"/>
        <w:rPr>
          <w:lang w:val="es-VE"/>
        </w:rPr>
      </w:pPr>
      <w:r w:rsidRPr="004945E1">
        <w:rPr>
          <w:noProof/>
          <w:lang w:val="es-VE"/>
        </w:rPr>
        <mc:AlternateContent>
          <mc:Choice Requires="wps">
            <w:drawing>
              <wp:anchor distT="0" distB="0" distL="114300" distR="114300" simplePos="0" relativeHeight="251661312" behindDoc="0" locked="0" layoutInCell="1" allowOverlap="1" wp14:anchorId="07EF846A" wp14:editId="0AB791C8">
                <wp:simplePos x="0" y="0"/>
                <wp:positionH relativeFrom="column">
                  <wp:posOffset>-57150</wp:posOffset>
                </wp:positionH>
                <wp:positionV relativeFrom="paragraph">
                  <wp:posOffset>-19050</wp:posOffset>
                </wp:positionV>
                <wp:extent cx="6980830" cy="2476500"/>
                <wp:effectExtent l="0" t="0" r="10795" b="19050"/>
                <wp:wrapNone/>
                <wp:docPr id="2" name="Rectangle 2"/>
                <wp:cNvGraphicFramePr/>
                <a:graphic xmlns:a="http://schemas.openxmlformats.org/drawingml/2006/main">
                  <a:graphicData uri="http://schemas.microsoft.com/office/word/2010/wordprocessingShape">
                    <wps:wsp>
                      <wps:cNvSpPr/>
                      <wps:spPr>
                        <a:xfrm>
                          <a:off x="0" y="0"/>
                          <a:ext cx="6980830" cy="2476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EAF60" id="Rectangle 2" o:spid="_x0000_s1026" style="position:absolute;margin-left:-4.5pt;margin-top:-1.5pt;width:549.6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" filled="f" strokecolor="#1f3763 [1604]" strokeweight="1pt"/>
            </w:pict>
          </mc:Fallback>
        </mc:AlternateContent>
      </w:r>
      <w:r w:rsidRPr="004945E1">
        <w:rPr>
          <w:lang w:val="es-VE"/>
        </w:rPr>
        <w:t>Índice</w:t>
      </w:r>
    </w:p>
    <w:p w14:paraId="12189147" w14:textId="0F44B305" w:rsidR="007271AD" w:rsidRPr="004945E1" w:rsidRDefault="00CF56A5">
      <w:pPr>
        <w:pStyle w:val="TOC2"/>
        <w:rPr>
          <w:rFonts w:eastAsiaTheme="minorEastAsia"/>
          <w:noProof/>
          <w:lang w:val="es-VE"/>
        </w:rPr>
      </w:pPr>
      <w:r w:rsidRPr="004945E1">
        <w:rPr>
          <w:lang w:val="es-VE"/>
        </w:rPr>
        <w:fldChar w:fldCharType="begin"/>
      </w:r>
      <w:r w:rsidR="00FB26D9" w:rsidRPr="004945E1">
        <w:rPr>
          <w:lang w:val="es-VE"/>
        </w:rPr>
        <w:instrText xml:space="preserve"> TOC \o "1-3" \h \z \u </w:instrText>
      </w:r>
      <w:r w:rsidRPr="004945E1">
        <w:rPr>
          <w:lang w:val="es-VE"/>
        </w:rPr>
        <w:fldChar w:fldCharType="separate"/>
      </w:r>
      <w:r w:rsidR="00ED4119" w:rsidRPr="004945E1">
        <w:rPr>
          <w:lang w:val="es-VE"/>
        </w:rPr>
        <w:t>Introducción</w:t>
      </w:r>
      <w:r w:rsidR="00C751D3" w:rsidRPr="004945E1">
        <w:rPr>
          <w:lang w:val="es-VE"/>
        </w:rPr>
        <w:t xml:space="preserve">                                                                                                                                                                                           1</w:t>
      </w:r>
    </w:p>
    <w:p w14:paraId="538A1341" w14:textId="748B9A63" w:rsidR="00CF56A5" w:rsidRPr="004945E1" w:rsidRDefault="00CF56A5" w:rsidP="00CF56A5">
      <w:pPr>
        <w:pStyle w:val="TOC2"/>
        <w:rPr>
          <w:rStyle w:val="Hyperlink"/>
          <w:noProof/>
          <w:lang w:val="es-VE"/>
        </w:rPr>
      </w:pPr>
      <w:r w:rsidRPr="004945E1">
        <w:rPr>
          <w:lang w:val="es-VE"/>
        </w:rPr>
        <w:fldChar w:fldCharType="begin"/>
      </w:r>
      <w:r w:rsidRPr="004945E1">
        <w:rPr>
          <w:lang w:val="es-VE"/>
        </w:rPr>
        <w:instrText xml:space="preserve"> HYPERLINK \l "_Toc79478884" </w:instrText>
      </w:r>
      <w:r w:rsidRPr="004945E1">
        <w:rPr>
          <w:lang w:val="es-VE"/>
        </w:rPr>
        <w:fldChar w:fldCharType="separate"/>
      </w:r>
      <w:r w:rsidRPr="004945E1">
        <w:rPr>
          <w:rStyle w:val="Hyperlink"/>
          <w:noProof/>
          <w:lang w:val="es-VE"/>
        </w:rPr>
        <w:t>Prin</w:t>
      </w:r>
      <w:r w:rsidR="00D30798" w:rsidRPr="004945E1">
        <w:rPr>
          <w:rStyle w:val="Hyperlink"/>
          <w:noProof/>
          <w:lang w:val="es-VE"/>
        </w:rPr>
        <w:t>cipio de Entrada Coordinada</w:t>
      </w:r>
      <w:r w:rsidRPr="004945E1">
        <w:rPr>
          <w:rStyle w:val="Hyperlink"/>
          <w:noProof/>
          <w:lang w:val="es-VE"/>
        </w:rPr>
        <w:t xml:space="preserve">                                                                                                                                                        2 </w:t>
      </w:r>
    </w:p>
    <w:p w14:paraId="731182DF" w14:textId="685D8A88" w:rsidR="00CF56A5" w:rsidRPr="004945E1" w:rsidRDefault="00D30798" w:rsidP="00CF56A5">
      <w:pPr>
        <w:pStyle w:val="TOC2"/>
        <w:rPr>
          <w:rFonts w:eastAsiaTheme="minorEastAsia"/>
          <w:noProof/>
          <w:lang w:val="es-VE"/>
        </w:rPr>
      </w:pPr>
      <w:r w:rsidRPr="004945E1">
        <w:rPr>
          <w:rStyle w:val="Hyperlink"/>
          <w:noProof/>
          <w:lang w:val="es-VE"/>
        </w:rPr>
        <w:t>Responsabilidades y Expectativas de los Evaluadores de CE</w:t>
      </w:r>
      <w:r w:rsidR="00CF56A5" w:rsidRPr="004945E1">
        <w:rPr>
          <w:noProof/>
          <w:webHidden/>
          <w:lang w:val="es-VE"/>
        </w:rPr>
        <w:tab/>
      </w:r>
      <w:r w:rsidR="00C773B3" w:rsidRPr="004945E1">
        <w:rPr>
          <w:noProof/>
          <w:webHidden/>
          <w:lang w:val="es-VE"/>
        </w:rPr>
        <w:t>3</w:t>
      </w:r>
      <w:r w:rsidR="00CF56A5" w:rsidRPr="004945E1">
        <w:rPr>
          <w:noProof/>
          <w:lang w:val="es-VE"/>
        </w:rPr>
        <w:fldChar w:fldCharType="end"/>
      </w:r>
    </w:p>
    <w:p w14:paraId="01D69230" w14:textId="0D6F65CC" w:rsidR="00CF56A5" w:rsidRPr="004945E1" w:rsidRDefault="00DF3A91" w:rsidP="00CF56A5">
      <w:pPr>
        <w:pStyle w:val="TOC2"/>
        <w:rPr>
          <w:rFonts w:eastAsiaTheme="minorEastAsia"/>
          <w:noProof/>
          <w:lang w:val="es-VE"/>
        </w:rPr>
      </w:pPr>
      <w:hyperlink w:anchor="_Toc79478885" w:history="1">
        <w:r w:rsidR="00307B18" w:rsidRPr="004945E1">
          <w:rPr>
            <w:rStyle w:val="Hyperlink"/>
            <w:noProof/>
            <w:lang w:val="es-VE"/>
          </w:rPr>
          <w:t>Etapas de la Herramienta para la Evaluación de CE</w:t>
        </w:r>
        <w:r w:rsidR="00CF56A5" w:rsidRPr="004945E1">
          <w:rPr>
            <w:noProof/>
            <w:webHidden/>
            <w:lang w:val="es-VE"/>
          </w:rPr>
          <w:tab/>
          <w:t>3</w:t>
        </w:r>
      </w:hyperlink>
    </w:p>
    <w:p w14:paraId="1FB2E194" w14:textId="28CA2779" w:rsidR="00CF56A5" w:rsidRPr="004945E1" w:rsidRDefault="00DF3A91" w:rsidP="00CF56A5">
      <w:pPr>
        <w:pStyle w:val="TOC2"/>
        <w:rPr>
          <w:rFonts w:eastAsiaTheme="minorEastAsia"/>
          <w:noProof/>
          <w:lang w:val="es-VE"/>
        </w:rPr>
      </w:pPr>
      <w:hyperlink w:anchor="_Toc79478886" w:history="1">
        <w:r w:rsidR="006D5D8B" w:rsidRPr="004945E1">
          <w:rPr>
            <w:rStyle w:val="Hyperlink"/>
            <w:noProof/>
            <w:lang w:val="es-VE"/>
          </w:rPr>
          <w:t>Capacitación y Competencias Básicas del Evaluador de CE</w:t>
        </w:r>
        <w:r w:rsidR="00CF56A5" w:rsidRPr="004945E1">
          <w:rPr>
            <w:noProof/>
            <w:webHidden/>
            <w:lang w:val="es-VE"/>
          </w:rPr>
          <w:tab/>
          <w:t>4</w:t>
        </w:r>
      </w:hyperlink>
    </w:p>
    <w:p w14:paraId="2C84AFB4" w14:textId="75EFFFDB" w:rsidR="00CF56A5" w:rsidRPr="004945E1" w:rsidRDefault="00DF3A91" w:rsidP="00CF56A5">
      <w:pPr>
        <w:pStyle w:val="TOC2"/>
        <w:rPr>
          <w:rFonts w:eastAsiaTheme="minorEastAsia"/>
          <w:noProof/>
          <w:lang w:val="es-VE"/>
        </w:rPr>
      </w:pPr>
      <w:hyperlink w:anchor="_Toc79478887" w:history="1">
        <w:r w:rsidR="00A51A87" w:rsidRPr="004945E1">
          <w:rPr>
            <w:rStyle w:val="Hyperlink"/>
            <w:noProof/>
            <w:lang w:val="es-VE"/>
          </w:rPr>
          <w:t>Aclaración y Orientación de la Herramienta para la Evaluación de CE</w:t>
        </w:r>
        <w:r w:rsidR="00CF56A5" w:rsidRPr="004945E1">
          <w:rPr>
            <w:noProof/>
            <w:webHidden/>
            <w:lang w:val="es-VE"/>
          </w:rPr>
          <w:tab/>
          <w:t>5</w:t>
        </w:r>
      </w:hyperlink>
    </w:p>
    <w:p w14:paraId="79555B10" w14:textId="1CC10839" w:rsidR="00CF56A5" w:rsidRPr="004945E1" w:rsidRDefault="00CF56A5" w:rsidP="00CF56A5">
      <w:pPr>
        <w:pStyle w:val="TOC2"/>
        <w:rPr>
          <w:lang w:val="es-VE"/>
        </w:rPr>
      </w:pPr>
      <w:r w:rsidRPr="004945E1">
        <w:rPr>
          <w:lang w:val="es-VE"/>
        </w:rPr>
        <w:t>Ap</w:t>
      </w:r>
      <w:r w:rsidR="00A51A87" w:rsidRPr="004945E1">
        <w:rPr>
          <w:lang w:val="es-VE"/>
        </w:rPr>
        <w:t xml:space="preserve">éndices </w:t>
      </w:r>
      <w:r w:rsidRPr="004945E1">
        <w:rPr>
          <w:lang w:val="es-VE"/>
        </w:rPr>
        <w:t>A-D                                                                                                                                                                                      2</w:t>
      </w:r>
      <w:r w:rsidR="005E1882" w:rsidRPr="004945E1">
        <w:rPr>
          <w:lang w:val="es-VE"/>
        </w:rPr>
        <w:t>2</w:t>
      </w:r>
    </w:p>
    <w:p w14:paraId="5A936A60" w14:textId="05A8762D" w:rsidR="00CF56A5" w:rsidRPr="004945E1" w:rsidRDefault="005E1882" w:rsidP="00CF56A5">
      <w:pPr>
        <w:pStyle w:val="TOC2"/>
        <w:rPr>
          <w:lang w:val="es-VE"/>
        </w:rPr>
      </w:pPr>
      <w:r w:rsidRPr="004945E1">
        <w:rPr>
          <w:lang w:val="es-VE"/>
        </w:rPr>
        <w:t>Página de Firmas</w:t>
      </w:r>
      <w:r w:rsidR="00CF56A5" w:rsidRPr="004945E1">
        <w:rPr>
          <w:lang w:val="es-VE"/>
        </w:rPr>
        <w:t xml:space="preserve"> (</w:t>
      </w:r>
      <w:r w:rsidRPr="004945E1">
        <w:rPr>
          <w:lang w:val="es-VE"/>
        </w:rPr>
        <w:t>Requerida</w:t>
      </w:r>
      <w:r w:rsidR="00CF56A5" w:rsidRPr="004945E1">
        <w:rPr>
          <w:lang w:val="es-VE"/>
        </w:rPr>
        <w:t>)</w:t>
      </w:r>
      <w:r w:rsidRPr="004945E1">
        <w:rPr>
          <w:lang w:val="es-VE"/>
        </w:rPr>
        <w:t xml:space="preserve"> </w:t>
      </w:r>
      <w:r w:rsidR="00CF56A5" w:rsidRPr="004945E1">
        <w:rPr>
          <w:lang w:val="es-VE"/>
        </w:rPr>
        <w:t xml:space="preserve">                                                                                                                                                          2</w:t>
      </w:r>
      <w:r w:rsidRPr="004945E1">
        <w:rPr>
          <w:lang w:val="es-VE"/>
        </w:rPr>
        <w:t>5</w:t>
      </w:r>
      <w:hyperlink w:anchor="_Toc79478888" w:history="1"/>
    </w:p>
    <w:p w14:paraId="2156DE37" w14:textId="6464BE90" w:rsidR="00CF56A5" w:rsidRPr="004945E1" w:rsidRDefault="00CF56A5" w:rsidP="00CF56A5">
      <w:pPr>
        <w:rPr>
          <w:b/>
          <w:color w:val="C45911" w:themeColor="accent2" w:themeShade="BF"/>
          <w:lang w:val="es-VE"/>
        </w:rPr>
      </w:pPr>
      <w:r w:rsidRPr="004945E1">
        <w:rPr>
          <w:b/>
          <w:bCs/>
          <w:noProof/>
          <w:lang w:val="es-VE"/>
        </w:rPr>
        <w:fldChar w:fldCharType="end"/>
      </w:r>
    </w:p>
    <w:p w14:paraId="2CCD206A" w14:textId="77777777" w:rsidR="007271AD" w:rsidRPr="004945E1" w:rsidRDefault="00FB26D9">
      <w:pPr>
        <w:jc w:val="center"/>
        <w:rPr>
          <w:b/>
          <w:noProof/>
          <w:lang w:val="es-VE"/>
        </w:rPr>
      </w:pPr>
      <w:r w:rsidRPr="004945E1">
        <w:rPr>
          <w:rFonts w:cstheme="minorHAnsi"/>
          <w:sz w:val="22"/>
          <w:lang w:val="es-VE"/>
        </w:rPr>
        <w:t xml:space="preserve">*Gran parte de esta Guía Complementaria de Evaluación de CE, incluyendo la estructura, los conceptos y la redacción, está adaptada o es extraída directamente de la </w:t>
      </w:r>
      <w:hyperlink r:id="rId11" w:history="1">
        <w:r w:rsidRPr="004945E1">
          <w:rPr>
            <w:rStyle w:val="Hyperlink"/>
            <w:rFonts w:cstheme="minorHAnsi"/>
            <w:b/>
            <w:i/>
            <w:sz w:val="22"/>
            <w:lang w:val="es-VE"/>
          </w:rPr>
          <w:t>Guía Complementaria para la Evaluación de Prevención de Personas Sin Hogar (HP, por sus siglas en ingléss) de SSVF.</w:t>
        </w:r>
      </w:hyperlink>
      <w:r w:rsidRPr="004945E1">
        <w:rPr>
          <w:rFonts w:cstheme="minorHAnsi"/>
          <w:sz w:val="22"/>
          <w:lang w:val="es-VE"/>
        </w:rPr>
        <w:t>*</w:t>
      </w:r>
    </w:p>
    <w:p w14:paraId="45B3E05C" w14:textId="77777777" w:rsidR="007271AD" w:rsidRPr="004945E1" w:rsidRDefault="007271AD">
      <w:pPr>
        <w:jc w:val="center"/>
        <w:rPr>
          <w:b/>
          <w:color w:val="C45911" w:themeColor="accent2" w:themeShade="BF"/>
          <w:lang w:val="es-VE"/>
        </w:rPr>
      </w:pPr>
    </w:p>
    <w:p w14:paraId="677F3E11" w14:textId="2DEAB9A2" w:rsidR="007271AD" w:rsidRPr="004945E1" w:rsidRDefault="00FB26D9">
      <w:pPr>
        <w:pStyle w:val="Heading2"/>
        <w:rPr>
          <w:lang w:val="es-VE"/>
        </w:rPr>
      </w:pPr>
      <w:r w:rsidRPr="004945E1">
        <w:rPr>
          <w:lang w:val="es-VE"/>
        </w:rPr>
        <w:t>Introducción</w:t>
      </w:r>
    </w:p>
    <w:p w14:paraId="4560D14F" w14:textId="77777777" w:rsidR="007271AD" w:rsidRPr="004945E1" w:rsidRDefault="007271AD">
      <w:pPr>
        <w:rPr>
          <w:rFonts w:cstheme="minorHAnsi"/>
          <w:sz w:val="22"/>
          <w:lang w:val="es-VE"/>
        </w:rPr>
      </w:pPr>
    </w:p>
    <w:p w14:paraId="4737B70F" w14:textId="7BE86E22" w:rsidR="007271AD" w:rsidRPr="004945E1" w:rsidRDefault="00FB26D9">
      <w:pPr>
        <w:rPr>
          <w:rFonts w:cstheme="minorHAnsi"/>
          <w:sz w:val="22"/>
          <w:lang w:val="es-VE"/>
        </w:rPr>
      </w:pPr>
      <w:r w:rsidRPr="004945E1">
        <w:rPr>
          <w:rFonts w:cstheme="minorHAnsi"/>
          <w:sz w:val="22"/>
          <w:lang w:val="es-VE"/>
        </w:rPr>
        <w:t xml:space="preserve">Three County Continuum of Care ha revisado la </w:t>
      </w:r>
      <w:r w:rsidRPr="004945E1">
        <w:rPr>
          <w:rFonts w:cstheme="minorHAnsi"/>
          <w:b/>
          <w:i/>
          <w:sz w:val="22"/>
          <w:lang w:val="es-VE"/>
        </w:rPr>
        <w:t>Herramienta para la Evaluación de Vulnerabilidad de Entrada Coordinada (CE, por sus siglas en inglés)</w:t>
      </w:r>
      <w:r w:rsidRPr="004945E1">
        <w:rPr>
          <w:rFonts w:cstheme="minorHAnsi"/>
          <w:sz w:val="22"/>
          <w:lang w:val="es-VE"/>
        </w:rPr>
        <w:t xml:space="preserve"> a partir del 1 de enero de 2022. Esta </w:t>
      </w:r>
      <w:r w:rsidRPr="004945E1">
        <w:rPr>
          <w:rFonts w:cstheme="minorHAnsi"/>
          <w:b/>
          <w:i/>
          <w:sz w:val="22"/>
          <w:lang w:val="es-VE"/>
        </w:rPr>
        <w:t>Guía Complementaria para la Evaluación de Entrada Coordinada</w:t>
      </w:r>
      <w:r w:rsidRPr="004945E1">
        <w:rPr>
          <w:rFonts w:cstheme="minorHAnsi"/>
          <w:sz w:val="22"/>
          <w:lang w:val="es-VE"/>
        </w:rPr>
        <w:t xml:space="preserve"> sirve para apoyar a los Evaluadores de CE capacitados en la administración de la </w:t>
      </w:r>
      <w:r w:rsidRPr="004945E1">
        <w:rPr>
          <w:rFonts w:cstheme="minorHAnsi"/>
          <w:b/>
          <w:i/>
          <w:iCs/>
          <w:sz w:val="22"/>
          <w:lang w:val="es-VE"/>
        </w:rPr>
        <w:t>Herramienta para la Evaluación de CE</w:t>
      </w:r>
      <w:r w:rsidRPr="004945E1">
        <w:rPr>
          <w:rFonts w:cstheme="minorHAnsi"/>
          <w:sz w:val="22"/>
          <w:lang w:val="es-VE"/>
        </w:rPr>
        <w:t xml:space="preserve"> revisada</w:t>
      </w:r>
      <w:r w:rsidRPr="004945E1">
        <w:rPr>
          <w:rFonts w:cstheme="minorHAnsi"/>
          <w:iCs/>
          <w:sz w:val="22"/>
          <w:lang w:val="es-VE"/>
        </w:rPr>
        <w:t xml:space="preserve"> y en el cumplimiento de las responsabilidades y expectativas de los evaluadores de CE</w:t>
      </w:r>
      <w:r w:rsidRPr="004945E1">
        <w:rPr>
          <w:rFonts w:cstheme="minorHAnsi"/>
          <w:sz w:val="22"/>
          <w:lang w:val="es-VE"/>
        </w:rPr>
        <w:t xml:space="preserve">. </w:t>
      </w:r>
      <w:r w:rsidRPr="004945E1">
        <w:rPr>
          <w:sz w:val="22"/>
          <w:lang w:val="es-VE"/>
        </w:rPr>
        <w:t xml:space="preserve">Los objetivos de actualizar la </w:t>
      </w:r>
      <w:r w:rsidRPr="004945E1">
        <w:rPr>
          <w:b/>
          <w:i/>
          <w:sz w:val="22"/>
          <w:lang w:val="es-VE"/>
        </w:rPr>
        <w:t>Herramienta para la Evaluación de CE</w:t>
      </w:r>
      <w:r w:rsidRPr="004945E1">
        <w:rPr>
          <w:sz w:val="22"/>
          <w:lang w:val="es-VE"/>
        </w:rPr>
        <w:t xml:space="preserve"> de </w:t>
      </w:r>
      <w:r w:rsidRPr="004945E1">
        <w:rPr>
          <w:b/>
          <w:i/>
          <w:iCs/>
          <w:sz w:val="22"/>
          <w:lang w:val="es-VE"/>
        </w:rPr>
        <w:t>Three County</w:t>
      </w:r>
      <w:r w:rsidRPr="004945E1">
        <w:rPr>
          <w:sz w:val="22"/>
          <w:lang w:val="es-VE"/>
        </w:rPr>
        <w:t xml:space="preserve"> son lograr resultados</w:t>
      </w:r>
      <w:r w:rsidR="0019766E" w:rsidRPr="004945E1">
        <w:rPr>
          <w:sz w:val="22"/>
          <w:lang w:val="es-VE"/>
        </w:rPr>
        <w:t xml:space="preserve"> </w:t>
      </w:r>
      <w:r w:rsidRPr="004945E1">
        <w:rPr>
          <w:sz w:val="22"/>
          <w:lang w:val="es-VE"/>
        </w:rPr>
        <w:t xml:space="preserve">equitativos en referencias a vivienda y otros recursos y mejorar el uso práctico de esta herramienta al realizar evaluaciones e ingresar información en </w:t>
      </w:r>
      <w:r w:rsidR="004D20E4" w:rsidRPr="004945E1">
        <w:rPr>
          <w:sz w:val="22"/>
          <w:lang w:val="es-VE"/>
        </w:rPr>
        <w:t>el Sistema de Información de Gestión de Personas sin Hogar (</w:t>
      </w:r>
      <w:r w:rsidRPr="004945E1">
        <w:rPr>
          <w:sz w:val="22"/>
          <w:lang w:val="es-VE"/>
        </w:rPr>
        <w:t>HMIS</w:t>
      </w:r>
      <w:r w:rsidR="004D20E4" w:rsidRPr="004945E1">
        <w:rPr>
          <w:sz w:val="22"/>
          <w:lang w:val="es-VE"/>
        </w:rPr>
        <w:t>, por sus siglas en inglés)</w:t>
      </w:r>
      <w:r w:rsidRPr="004945E1">
        <w:rPr>
          <w:sz w:val="22"/>
          <w:lang w:val="es-VE"/>
        </w:rPr>
        <w:t xml:space="preserve">. La </w:t>
      </w:r>
      <w:r w:rsidRPr="004945E1">
        <w:rPr>
          <w:b/>
          <w:i/>
          <w:sz w:val="22"/>
          <w:lang w:val="es-VE"/>
        </w:rPr>
        <w:t>Herramienta para la Evaluación de CE</w:t>
      </w:r>
      <w:r w:rsidRPr="004945E1">
        <w:rPr>
          <w:sz w:val="22"/>
          <w:lang w:val="es-VE"/>
        </w:rPr>
        <w:t xml:space="preserve"> ayuda a los Evaluadores de CE a intervenir en individuos y familias que experimentan una crisis de vivienda para identificar los recursos disponibles de inmediato para prevenir la falta de vivienda o para responder a la falta de vivienda actual. La herramienta produce un puntaje de Evaluación de Vulnerabilidad para las personas y familias sin hogar, que se utiliza para ayudar a orientar los recursos de vivienda limitados a aquellos con las mayores vulnerabilidades y barreras de vivienda. </w:t>
      </w:r>
      <w:r w:rsidRPr="004945E1">
        <w:rPr>
          <w:rFonts w:cstheme="minorHAnsi"/>
          <w:sz w:val="22"/>
          <w:lang w:val="es-VE"/>
        </w:rPr>
        <w:t>La herramienta revisada y la guía complementaria se desarrollaron con el apoyo de un Grupo de Trabajo de CE compuesto por una amplia gama de miembros de Three County C</w:t>
      </w:r>
      <w:r w:rsidR="004D20E4" w:rsidRPr="004945E1">
        <w:rPr>
          <w:rFonts w:cstheme="minorHAnsi"/>
          <w:sz w:val="22"/>
          <w:lang w:val="es-VE"/>
        </w:rPr>
        <w:t xml:space="preserve">ontinuum </w:t>
      </w:r>
      <w:r w:rsidRPr="004945E1">
        <w:rPr>
          <w:rFonts w:cstheme="minorHAnsi"/>
          <w:sz w:val="22"/>
          <w:lang w:val="es-VE"/>
        </w:rPr>
        <w:t>o</w:t>
      </w:r>
      <w:r w:rsidR="004D20E4" w:rsidRPr="004945E1">
        <w:rPr>
          <w:rFonts w:cstheme="minorHAnsi"/>
          <w:sz w:val="22"/>
          <w:lang w:val="es-VE"/>
        </w:rPr>
        <w:t xml:space="preserve">f </w:t>
      </w:r>
      <w:r w:rsidRPr="004945E1">
        <w:rPr>
          <w:rFonts w:cstheme="minorHAnsi"/>
          <w:sz w:val="22"/>
          <w:lang w:val="es-VE"/>
        </w:rPr>
        <w:t>C</w:t>
      </w:r>
      <w:r w:rsidR="004D20E4" w:rsidRPr="004945E1">
        <w:rPr>
          <w:rFonts w:cstheme="minorHAnsi"/>
          <w:sz w:val="22"/>
          <w:lang w:val="es-VE"/>
        </w:rPr>
        <w:t>are</w:t>
      </w:r>
      <w:r w:rsidRPr="004945E1">
        <w:rPr>
          <w:rFonts w:cstheme="minorHAnsi"/>
          <w:sz w:val="22"/>
          <w:lang w:val="es-VE"/>
        </w:rPr>
        <w:t xml:space="preserve">, incluidas personas con experiencia vivida, y con la asistencia de Asociados TAC y Socios de Equidad Racial. La </w:t>
      </w:r>
      <w:r w:rsidRPr="004945E1">
        <w:rPr>
          <w:rFonts w:cstheme="minorHAnsi"/>
          <w:b/>
          <w:i/>
          <w:iCs/>
          <w:sz w:val="22"/>
          <w:lang w:val="es-VE"/>
        </w:rPr>
        <w:t>Herramienta para la Evaluación de CE</w:t>
      </w:r>
      <w:r w:rsidRPr="004945E1">
        <w:rPr>
          <w:rFonts w:cstheme="minorHAnsi"/>
          <w:sz w:val="22"/>
          <w:lang w:val="es-VE"/>
        </w:rPr>
        <w:t xml:space="preserve"> tiene como objetivo garantizar una evaluación uniforme y equitativa en todo CoC. El rediseño de la herramienta usó una lente interseccional de equidad racial para identificar los factores que responderían mejor a las disparidades sistémicas creadas por la discriminación y la opresión por motivos de etnia y género.</w:t>
      </w:r>
    </w:p>
    <w:p w14:paraId="3A54A202" w14:textId="5BD7EDD5" w:rsidR="007271AD" w:rsidRPr="004945E1" w:rsidRDefault="007271AD">
      <w:pPr>
        <w:outlineLvl w:val="0"/>
        <w:rPr>
          <w:rFonts w:cstheme="minorHAnsi"/>
          <w:sz w:val="22"/>
          <w:lang w:val="es-VE"/>
        </w:rPr>
      </w:pPr>
    </w:p>
    <w:p w14:paraId="6CD333BD" w14:textId="28E170C0" w:rsidR="007271AD" w:rsidRPr="004945E1" w:rsidRDefault="00FB26D9">
      <w:pPr>
        <w:rPr>
          <w:rFonts w:cstheme="minorHAnsi"/>
          <w:sz w:val="22"/>
          <w:lang w:val="es-VE"/>
        </w:rPr>
      </w:pPr>
      <w:r w:rsidRPr="004945E1">
        <w:rPr>
          <w:rFonts w:cstheme="minorHAnsi"/>
          <w:sz w:val="22"/>
          <w:lang w:val="es-VE"/>
        </w:rPr>
        <w:lastRenderedPageBreak/>
        <w:t xml:space="preserve">La </w:t>
      </w:r>
      <w:r w:rsidRPr="004945E1">
        <w:rPr>
          <w:rFonts w:cstheme="minorHAnsi"/>
          <w:b/>
          <w:i/>
          <w:iCs/>
          <w:sz w:val="22"/>
          <w:lang w:val="es-VE"/>
        </w:rPr>
        <w:t xml:space="preserve">Herramienta para la Evaluación de CE </w:t>
      </w:r>
      <w:r w:rsidRPr="004945E1">
        <w:rPr>
          <w:rFonts w:cstheme="minorHAnsi"/>
          <w:sz w:val="22"/>
          <w:lang w:val="es-VE"/>
        </w:rPr>
        <w:t>debe ser utilizada por Asesores de CE capacitados de Three County para evaluar a las personas y familias que:</w:t>
      </w:r>
    </w:p>
    <w:p w14:paraId="34795574" w14:textId="25A29606" w:rsidR="007271AD" w:rsidRPr="004945E1" w:rsidRDefault="00FB26D9">
      <w:pPr>
        <w:pStyle w:val="ListParagraph"/>
        <w:numPr>
          <w:ilvl w:val="0"/>
          <w:numId w:val="21"/>
        </w:numPr>
        <w:rPr>
          <w:rFonts w:cstheme="minorHAnsi"/>
          <w:sz w:val="22"/>
          <w:lang w:val="es-VE"/>
        </w:rPr>
      </w:pPr>
      <w:r w:rsidRPr="004945E1">
        <w:rPr>
          <w:rFonts w:cstheme="minorHAnsi"/>
          <w:sz w:val="22"/>
          <w:lang w:val="es-VE"/>
        </w:rPr>
        <w:t xml:space="preserve">No tienen hogar en </w:t>
      </w:r>
      <w:r w:rsidR="004D20E4" w:rsidRPr="004945E1">
        <w:rPr>
          <w:rFonts w:cstheme="minorHAnsi"/>
          <w:sz w:val="22"/>
          <w:lang w:val="es-VE"/>
        </w:rPr>
        <w:t>los</w:t>
      </w:r>
      <w:r w:rsidRPr="004945E1">
        <w:rPr>
          <w:rFonts w:cstheme="minorHAnsi"/>
          <w:sz w:val="22"/>
          <w:lang w:val="es-VE"/>
        </w:rPr>
        <w:t xml:space="preserve"> condado</w:t>
      </w:r>
      <w:r w:rsidR="004D20E4" w:rsidRPr="004945E1">
        <w:rPr>
          <w:rFonts w:cstheme="minorHAnsi"/>
          <w:sz w:val="22"/>
          <w:lang w:val="es-VE"/>
        </w:rPr>
        <w:t>s</w:t>
      </w:r>
      <w:r w:rsidRPr="004945E1">
        <w:rPr>
          <w:rFonts w:cstheme="minorHAnsi"/>
          <w:sz w:val="22"/>
          <w:lang w:val="es-VE"/>
        </w:rPr>
        <w:t xml:space="preserve"> de Franklin, Hampshire o Berkshire (o están en riesgo de quedarse sin hogar, si tiene</w:t>
      </w:r>
      <w:r w:rsidR="004D20E4" w:rsidRPr="004945E1">
        <w:rPr>
          <w:rFonts w:cstheme="minorHAnsi"/>
          <w:sz w:val="22"/>
          <w:lang w:val="es-VE"/>
        </w:rPr>
        <w:t xml:space="preserve">n </w:t>
      </w:r>
      <w:r w:rsidRPr="004945E1">
        <w:rPr>
          <w:rFonts w:cstheme="minorHAnsi"/>
          <w:sz w:val="22"/>
          <w:lang w:val="es-VE"/>
        </w:rPr>
        <w:t>entre 18 y 24 años)</w:t>
      </w:r>
    </w:p>
    <w:p w14:paraId="07A1B07E" w14:textId="5BEB5875" w:rsidR="007271AD" w:rsidRPr="004945E1" w:rsidRDefault="00FB26D9">
      <w:pPr>
        <w:pStyle w:val="ListParagraph"/>
        <w:numPr>
          <w:ilvl w:val="0"/>
          <w:numId w:val="21"/>
        </w:numPr>
        <w:rPr>
          <w:rFonts w:cstheme="minorHAnsi"/>
          <w:sz w:val="22"/>
          <w:lang w:val="es-VE"/>
        </w:rPr>
      </w:pPr>
      <w:r w:rsidRPr="004945E1">
        <w:rPr>
          <w:rFonts w:cstheme="minorHAnsi"/>
          <w:sz w:val="22"/>
          <w:lang w:val="es-VE"/>
        </w:rPr>
        <w:t xml:space="preserve">Consentimiento para participar en </w:t>
      </w:r>
      <w:r w:rsidR="004D20E4" w:rsidRPr="004945E1">
        <w:rPr>
          <w:rFonts w:cstheme="minorHAnsi"/>
          <w:sz w:val="22"/>
          <w:lang w:val="es-VE"/>
        </w:rPr>
        <w:t xml:space="preserve">la </w:t>
      </w:r>
      <w:r w:rsidRPr="004945E1">
        <w:rPr>
          <w:rFonts w:cstheme="minorHAnsi"/>
          <w:sz w:val="22"/>
          <w:lang w:val="es-VE"/>
        </w:rPr>
        <w:t>CE y</w:t>
      </w:r>
      <w:r w:rsidR="004D20E4" w:rsidRPr="004945E1">
        <w:rPr>
          <w:rFonts w:cstheme="minorHAnsi"/>
          <w:sz w:val="22"/>
          <w:lang w:val="es-VE"/>
        </w:rPr>
        <w:t xml:space="preserve"> el</w:t>
      </w:r>
      <w:r w:rsidRPr="004945E1">
        <w:rPr>
          <w:rFonts w:cstheme="minorHAnsi"/>
          <w:sz w:val="22"/>
          <w:lang w:val="es-VE"/>
        </w:rPr>
        <w:t xml:space="preserve"> HMIS, a través de la Divulgación de Información </w:t>
      </w:r>
    </w:p>
    <w:p w14:paraId="5A14C86B" w14:textId="0F02CACC" w:rsidR="007271AD" w:rsidRPr="004945E1" w:rsidRDefault="007271AD">
      <w:pPr>
        <w:rPr>
          <w:rFonts w:cstheme="minorHAnsi"/>
          <w:sz w:val="22"/>
          <w:lang w:val="es-VE"/>
        </w:rPr>
      </w:pPr>
    </w:p>
    <w:p w14:paraId="792ABFC9" w14:textId="240909B4" w:rsidR="007271AD" w:rsidRPr="004945E1" w:rsidRDefault="00FB26D9">
      <w:pPr>
        <w:rPr>
          <w:rFonts w:cstheme="minorHAnsi"/>
          <w:sz w:val="22"/>
          <w:lang w:val="es-VE"/>
        </w:rPr>
      </w:pPr>
      <w:r w:rsidRPr="004945E1">
        <w:rPr>
          <w:rFonts w:cstheme="minorHAnsi"/>
          <w:sz w:val="22"/>
          <w:lang w:val="es-VE"/>
        </w:rPr>
        <w:t xml:space="preserve">Según los estándares escritos de CoC, esta Herramienta para la Evaluación de CE sirve principalmente para priorizar a las personas y las familias para los recursos limitados de CoC y vivienda a través del sistema de CE, que incluyen: Vivienda de Apoyo Permanente Financiada por CoC, Vivienda de Transición Financiada por CoC y programas financiados por el Programa de Demostración para Jóvenes sin Hogar (YHDP, por sus siglas en inglés). La prioridad para estos programas se basará principalmente en los siguientes factores: </w:t>
      </w:r>
    </w:p>
    <w:p w14:paraId="3D96B9E7" w14:textId="5DC06741" w:rsidR="007271AD" w:rsidRPr="004945E1" w:rsidRDefault="00FB26D9">
      <w:pPr>
        <w:pStyle w:val="ListParagraph"/>
        <w:numPr>
          <w:ilvl w:val="0"/>
          <w:numId w:val="22"/>
        </w:numPr>
        <w:rPr>
          <w:rFonts w:cstheme="minorHAnsi"/>
          <w:sz w:val="22"/>
          <w:lang w:val="es-VE"/>
        </w:rPr>
      </w:pPr>
      <w:r w:rsidRPr="004945E1">
        <w:rPr>
          <w:rFonts w:cstheme="minorHAnsi"/>
          <w:sz w:val="22"/>
          <w:lang w:val="es-VE"/>
        </w:rPr>
        <w:t>Elegibilidad para cada programa</w:t>
      </w:r>
    </w:p>
    <w:p w14:paraId="39461064" w14:textId="0A49E523" w:rsidR="007271AD" w:rsidRPr="004945E1" w:rsidRDefault="00FB26D9">
      <w:pPr>
        <w:pStyle w:val="ListParagraph"/>
        <w:numPr>
          <w:ilvl w:val="0"/>
          <w:numId w:val="22"/>
        </w:numPr>
        <w:rPr>
          <w:rFonts w:cstheme="minorHAnsi"/>
          <w:sz w:val="22"/>
          <w:lang w:val="es-VE"/>
        </w:rPr>
      </w:pPr>
      <w:r w:rsidRPr="004945E1">
        <w:rPr>
          <w:rFonts w:cstheme="minorHAnsi"/>
          <w:b/>
          <w:i/>
          <w:sz w:val="22"/>
          <w:lang w:val="es-VE"/>
        </w:rPr>
        <w:t>Puntaje de Vulnerabilidad</w:t>
      </w:r>
      <w:r w:rsidR="00CA5914" w:rsidRPr="004945E1">
        <w:rPr>
          <w:lang w:val="es-VE"/>
        </w:rPr>
        <w:t xml:space="preserve"> </w:t>
      </w:r>
      <w:r w:rsidR="00CA5914" w:rsidRPr="004945E1">
        <w:rPr>
          <w:rFonts w:cstheme="minorHAnsi"/>
          <w:sz w:val="22"/>
          <w:lang w:val="es-VE"/>
        </w:rPr>
        <w:t>de la E</w:t>
      </w:r>
      <w:r w:rsidRPr="004945E1">
        <w:rPr>
          <w:rFonts w:cstheme="minorHAnsi"/>
          <w:sz w:val="22"/>
          <w:lang w:val="es-VE"/>
        </w:rPr>
        <w:t>valuación de CE</w:t>
      </w:r>
    </w:p>
    <w:p w14:paraId="4C101B94" w14:textId="6C71AB89" w:rsidR="007271AD" w:rsidRPr="004945E1" w:rsidRDefault="00FB26D9">
      <w:pPr>
        <w:pStyle w:val="ListParagraph"/>
        <w:numPr>
          <w:ilvl w:val="0"/>
          <w:numId w:val="22"/>
        </w:numPr>
        <w:rPr>
          <w:rFonts w:cstheme="minorHAnsi"/>
          <w:sz w:val="22"/>
          <w:lang w:val="es-VE"/>
        </w:rPr>
      </w:pPr>
      <w:r w:rsidRPr="004945E1">
        <w:rPr>
          <w:rFonts w:cstheme="minorHAnsi"/>
          <w:sz w:val="22"/>
          <w:lang w:val="es-VE"/>
        </w:rPr>
        <w:t xml:space="preserve">Duración de tiempo sin hogar </w:t>
      </w:r>
    </w:p>
    <w:p w14:paraId="3D2984EB" w14:textId="521CC2A9" w:rsidR="007271AD" w:rsidRPr="004945E1" w:rsidRDefault="007271AD">
      <w:pPr>
        <w:ind w:left="720"/>
        <w:rPr>
          <w:rFonts w:cstheme="minorHAnsi"/>
          <w:sz w:val="22"/>
          <w:lang w:val="es-VE"/>
        </w:rPr>
      </w:pPr>
    </w:p>
    <w:p w14:paraId="3464BD7D" w14:textId="6014AF09" w:rsidR="007271AD" w:rsidRPr="004945E1" w:rsidRDefault="00FB26D9">
      <w:pPr>
        <w:rPr>
          <w:rFonts w:cstheme="minorHAnsi"/>
          <w:sz w:val="22"/>
          <w:lang w:val="es-VE"/>
        </w:rPr>
      </w:pPr>
      <w:r w:rsidRPr="004945E1">
        <w:rPr>
          <w:rFonts w:cstheme="minorHAnsi"/>
          <w:sz w:val="22"/>
          <w:lang w:val="es-VE"/>
        </w:rPr>
        <w:t>Una vez que la Evaluación de CE y la Divulgación de Información estén completas, los Evaluadores de CE deben conservar los formularios llenos en los archivos de sus clientes, junto con otra documentación de respaldo. La información de la Evaluación debe ingresarse en</w:t>
      </w:r>
      <w:r w:rsidR="00851D0C" w:rsidRPr="004945E1">
        <w:rPr>
          <w:rFonts w:cstheme="minorHAnsi"/>
          <w:sz w:val="22"/>
          <w:lang w:val="es-VE"/>
        </w:rPr>
        <w:t xml:space="preserve"> el</w:t>
      </w:r>
      <w:r w:rsidRPr="004945E1">
        <w:rPr>
          <w:rFonts w:cstheme="minorHAnsi"/>
          <w:sz w:val="22"/>
          <w:lang w:val="es-VE"/>
        </w:rPr>
        <w:t xml:space="preserve"> HMIS o enviarse al personal de CoC, dependiendo de si los Evaluadores de CE tienen cuentas </w:t>
      </w:r>
      <w:r w:rsidR="00851D0C" w:rsidRPr="004945E1">
        <w:rPr>
          <w:rFonts w:cstheme="minorHAnsi"/>
          <w:sz w:val="22"/>
          <w:lang w:val="es-VE"/>
        </w:rPr>
        <w:t xml:space="preserve">del </w:t>
      </w:r>
      <w:r w:rsidRPr="004945E1">
        <w:rPr>
          <w:rFonts w:cstheme="minorHAnsi"/>
          <w:sz w:val="22"/>
          <w:lang w:val="es-VE"/>
        </w:rPr>
        <w:t>HMIS o no. Se desaconseja encarecidamente a los Evaluadores de CE que lean las preguntas/indicaciones palabra por palabra a las personas y familias que están siendo evaluadas. En su lugar, el personal debe usar estrategias de resolución de problemas de vivienda básicas y basadas en información sobre traumas y usar la herramienta para apoyar las conversaciones iniciales antes de participar en una evaluación más profunda, resolución de problemas de vivienda y/u otra asistencia según se indique.</w:t>
      </w:r>
    </w:p>
    <w:p w14:paraId="6160C244" w14:textId="55F419E7" w:rsidR="007271AD" w:rsidRPr="004945E1" w:rsidRDefault="00FB26D9">
      <w:pPr>
        <w:pStyle w:val="Heading2"/>
        <w:rPr>
          <w:rStyle w:val="IntenseEmphasis"/>
          <w:i w:val="0"/>
          <w:iCs w:val="0"/>
          <w:lang w:val="es-VE"/>
        </w:rPr>
      </w:pPr>
      <w:r w:rsidRPr="004945E1">
        <w:rPr>
          <w:lang w:val="es-VE"/>
        </w:rPr>
        <w:t xml:space="preserve">Principios de la Entrada Coordinada de Three County </w:t>
      </w:r>
    </w:p>
    <w:p w14:paraId="3FCA0E91" w14:textId="77777777" w:rsidR="007271AD" w:rsidRPr="004945E1" w:rsidRDefault="007271AD">
      <w:pPr>
        <w:rPr>
          <w:sz w:val="22"/>
          <w:lang w:val="es-VE"/>
        </w:rPr>
      </w:pPr>
    </w:p>
    <w:p w14:paraId="40A7ED61" w14:textId="61D7AE5B" w:rsidR="007271AD" w:rsidRPr="004945E1" w:rsidRDefault="00FB26D9">
      <w:pPr>
        <w:rPr>
          <w:rFonts w:cstheme="minorHAnsi"/>
          <w:color w:val="000000"/>
          <w:sz w:val="22"/>
          <w:lang w:val="es-VE"/>
        </w:rPr>
      </w:pPr>
      <w:r w:rsidRPr="004945E1">
        <w:rPr>
          <w:rFonts w:cstheme="minorHAnsi"/>
          <w:color w:val="000000"/>
          <w:sz w:val="22"/>
          <w:lang w:val="es-VE"/>
        </w:rPr>
        <w:t>La Entrada Coordinada (CE, por sus siglas en inglés) es un sistema diseñado para conectar a las personas y familias sin hogar con opciones de vivienda, servicios de apoyo y beneficios generales. Three County C</w:t>
      </w:r>
      <w:r w:rsidR="00172C41" w:rsidRPr="004945E1">
        <w:rPr>
          <w:rFonts w:cstheme="minorHAnsi"/>
          <w:color w:val="000000"/>
          <w:sz w:val="22"/>
          <w:lang w:val="es-VE"/>
        </w:rPr>
        <w:t xml:space="preserve">ontinuum </w:t>
      </w:r>
      <w:r w:rsidRPr="004945E1">
        <w:rPr>
          <w:rFonts w:cstheme="minorHAnsi"/>
          <w:color w:val="000000"/>
          <w:sz w:val="22"/>
          <w:lang w:val="es-VE"/>
        </w:rPr>
        <w:t>o</w:t>
      </w:r>
      <w:r w:rsidR="00172C41" w:rsidRPr="004945E1">
        <w:rPr>
          <w:rFonts w:cstheme="minorHAnsi"/>
          <w:color w:val="000000"/>
          <w:sz w:val="22"/>
          <w:lang w:val="es-VE"/>
        </w:rPr>
        <w:t xml:space="preserve">f </w:t>
      </w:r>
      <w:r w:rsidRPr="004945E1">
        <w:rPr>
          <w:rFonts w:cstheme="minorHAnsi"/>
          <w:color w:val="000000"/>
          <w:sz w:val="22"/>
          <w:lang w:val="es-VE"/>
        </w:rPr>
        <w:t>C</w:t>
      </w:r>
      <w:r w:rsidR="00172C41" w:rsidRPr="004945E1">
        <w:rPr>
          <w:rFonts w:cstheme="minorHAnsi"/>
          <w:color w:val="000000"/>
          <w:sz w:val="22"/>
          <w:lang w:val="es-VE"/>
        </w:rPr>
        <w:t>are</w:t>
      </w:r>
      <w:r w:rsidRPr="004945E1">
        <w:rPr>
          <w:rFonts w:cstheme="minorHAnsi"/>
          <w:color w:val="000000"/>
          <w:sz w:val="22"/>
          <w:lang w:val="es-VE"/>
        </w:rPr>
        <w:t xml:space="preserve"> opera un sistema de CE de "múltiples</w:t>
      </w:r>
      <w:r w:rsidR="00172C41" w:rsidRPr="004945E1">
        <w:rPr>
          <w:rFonts w:cstheme="minorHAnsi"/>
          <w:color w:val="000000"/>
          <w:sz w:val="22"/>
          <w:lang w:val="es-VE"/>
        </w:rPr>
        <w:t xml:space="preserve"> puertas</w:t>
      </w:r>
      <w:r w:rsidRPr="004945E1">
        <w:rPr>
          <w:rFonts w:cstheme="minorHAnsi"/>
          <w:color w:val="000000"/>
          <w:sz w:val="22"/>
          <w:lang w:val="es-VE"/>
        </w:rPr>
        <w:t xml:space="preserve">", cuyo objetivo es brindar acceso inmediato y equitativo a la asistencia y los apoyos apropiados a través de una variedad de puntos de acceso. El Departamento de Vivienda y Desarrollo Urbano (HUD, por sus siglas en inglés) exige que todos los proyectos de vivienda financiados por CoC participen en un sistema de CE. La asistencia ofrecida a través de CE se prioriza según la vulnerabilidad y la gravedad de la necesidad. Además de los proyectos de CoC, el sistema de CE tiene como objetivo conectar a las personas y familias con otras viviendas, servicios de apoyo y beneficios principales </w:t>
      </w:r>
      <w:r w:rsidRPr="004945E1">
        <w:rPr>
          <w:sz w:val="22"/>
          <w:lang w:val="es-VE"/>
        </w:rPr>
        <w:t xml:space="preserve">para facilitar soluciones de vivienda seguras y sostenibles. Los </w:t>
      </w:r>
      <w:hyperlink r:id="rId12" w:history="1">
        <w:r w:rsidRPr="004945E1">
          <w:rPr>
            <w:rStyle w:val="Hyperlink"/>
            <w:sz w:val="22"/>
            <w:lang w:val="es-VE"/>
          </w:rPr>
          <w:t>conceptos centrales</w:t>
        </w:r>
      </w:hyperlink>
      <w:r w:rsidRPr="004945E1">
        <w:rPr>
          <w:sz w:val="22"/>
          <w:lang w:val="es-VE"/>
        </w:rPr>
        <w:t xml:space="preserve"> de CE incluyen un compromiso con las prácticas de Vivienda Primero, asegurando la elección del cliente y la orientación del servicio, respondiendo como una intervención de respuesta a crisis y asegurando que los servicios se brinden según sea necesario y de manera progresiva e individualizada. La falta de vivienda y la vivienda inestable pueden causar estrés significativo y efectos similares a otras experiencias traumáticas. En consecuencia, los servicios de CE deben basarse en principios y prácticas básicos coherentes con la atención basada en la evidencia e informada sobre el trauma, como establecer un espacio acogedor y seguro y ser explícito sobre el propósito de la evaluación y por qué se hacen ciertas preguntas. Esto es especialmente importante durante el compromiso inicial. </w:t>
      </w:r>
      <w:r w:rsidRPr="004945E1">
        <w:rPr>
          <w:rFonts w:cstheme="minorHAnsi"/>
          <w:iCs/>
          <w:sz w:val="22"/>
          <w:lang w:val="es-VE"/>
        </w:rPr>
        <w:t>Es esencial asegurarse de que el proceso de evaluación no cause más estrés durante una crisis de vivienda</w:t>
      </w:r>
      <w:r w:rsidRPr="004945E1">
        <w:rPr>
          <w:rFonts w:cstheme="minorHAnsi"/>
          <w:b/>
          <w:i/>
          <w:iCs/>
          <w:sz w:val="22"/>
          <w:lang w:val="es-VE"/>
        </w:rPr>
        <w:t>.</w:t>
      </w:r>
      <w:r w:rsidRPr="004945E1">
        <w:rPr>
          <w:rFonts w:cstheme="minorHAnsi"/>
          <w:iCs/>
          <w:sz w:val="22"/>
          <w:lang w:val="es-VE"/>
        </w:rPr>
        <w:t xml:space="preserve"> Por lo tanto, los socios de CE deben comprender y demostrar competencia básica en la realización de evaluaciones y asistencia informadas sobre el trauma antes de comenzar a administrar la herramienta. </w:t>
      </w:r>
    </w:p>
    <w:p w14:paraId="6ED34B60" w14:textId="50D81144" w:rsidR="007271AD" w:rsidRPr="004945E1" w:rsidRDefault="00FB26D9">
      <w:pPr>
        <w:pStyle w:val="Heading2"/>
        <w:rPr>
          <w:lang w:val="es-VE"/>
        </w:rPr>
      </w:pPr>
      <w:bookmarkStart w:id="0" w:name="_Hlk94824199"/>
      <w:r w:rsidRPr="004945E1">
        <w:rPr>
          <w:lang w:val="es-VE"/>
        </w:rPr>
        <w:lastRenderedPageBreak/>
        <w:t xml:space="preserve">Responsabilidades y </w:t>
      </w:r>
      <w:r w:rsidR="00952B40" w:rsidRPr="004945E1">
        <w:rPr>
          <w:lang w:val="es-VE"/>
        </w:rPr>
        <w:t>E</w:t>
      </w:r>
      <w:r w:rsidRPr="004945E1">
        <w:rPr>
          <w:lang w:val="es-VE"/>
        </w:rPr>
        <w:t xml:space="preserve">xpectativas de los Evaluadores de CE </w:t>
      </w:r>
    </w:p>
    <w:bookmarkEnd w:id="0"/>
    <w:p w14:paraId="56DF9476" w14:textId="1CBAA137" w:rsidR="007271AD" w:rsidRPr="004945E1" w:rsidRDefault="00FB26D9">
      <w:pPr>
        <w:pStyle w:val="Heading2"/>
        <w:rPr>
          <w:rFonts w:asciiTheme="minorHAnsi" w:hAnsiTheme="minorHAnsi" w:cstheme="minorHAnsi"/>
          <w:b w:val="0"/>
          <w:color w:val="000000"/>
          <w:sz w:val="22"/>
          <w:lang w:val="es-VE"/>
        </w:rPr>
      </w:pPr>
      <w:r w:rsidRPr="004945E1">
        <w:rPr>
          <w:rFonts w:asciiTheme="minorHAnsi" w:hAnsiTheme="minorHAnsi" w:cstheme="minorHAnsi"/>
          <w:b w:val="0"/>
          <w:color w:val="000000"/>
          <w:sz w:val="22"/>
          <w:lang w:val="es-VE"/>
        </w:rPr>
        <w:t xml:space="preserve">Los Evaluadores de CE de Three County son una parte vital del sistema de CE, asegurando que las personas y las familias estén conectadas a los recursos de vivienda de una manera efectiva, eficiente y con información sobre traumas. Además de realizar Evaluaciones de CE, se espera que los Evaluadores de CE se comprometan con las siguientes responsabilidades y expectativas: </w:t>
      </w:r>
    </w:p>
    <w:p w14:paraId="3EC789F5" w14:textId="4EE66521" w:rsidR="007271AD" w:rsidRPr="004945E1" w:rsidRDefault="00FB26D9">
      <w:pPr>
        <w:pStyle w:val="ListParagraph"/>
        <w:numPr>
          <w:ilvl w:val="0"/>
          <w:numId w:val="23"/>
        </w:numPr>
        <w:rPr>
          <w:lang w:val="es-VE"/>
        </w:rPr>
      </w:pPr>
      <w:r w:rsidRPr="004945E1">
        <w:rPr>
          <w:b/>
          <w:lang w:val="es-VE"/>
        </w:rPr>
        <w:t>Tener conocimiento y comprensión básicos del Sistema de Entrada Coordinada de Three County,</w:t>
      </w:r>
      <w:r w:rsidRPr="004945E1">
        <w:rPr>
          <w:lang w:val="es-VE"/>
        </w:rPr>
        <w:t xml:space="preserve"> incluido el proceso de evaluación y referencia, las opciones de vivienda financiadas por CoC conectadas a la CE, otros recursos conectados al sistema de CE y cómo conectarse con otros socios de CE. </w:t>
      </w:r>
    </w:p>
    <w:p w14:paraId="78BF68CE" w14:textId="6DAD8A21" w:rsidR="007271AD" w:rsidRPr="004945E1" w:rsidRDefault="00FB26D9">
      <w:pPr>
        <w:pStyle w:val="ListParagraph"/>
        <w:numPr>
          <w:ilvl w:val="0"/>
          <w:numId w:val="23"/>
        </w:numPr>
        <w:rPr>
          <w:lang w:val="es-VE"/>
        </w:rPr>
      </w:pPr>
      <w:r w:rsidRPr="004945E1">
        <w:rPr>
          <w:b/>
          <w:lang w:val="es-VE"/>
        </w:rPr>
        <w:t>Utilizar estrategias de resolución de problemas de vivienda y participar en conversaciones de HPS</w:t>
      </w:r>
      <w:r w:rsidRPr="004945E1">
        <w:rPr>
          <w:lang w:val="es-VE"/>
        </w:rPr>
        <w:t xml:space="preserve"> con personas y familias en crisis de vivienda, lo que incluye hacer referencias inmediatas y apropiadas para personas en riesgo de quedarse sin hogar </w:t>
      </w:r>
    </w:p>
    <w:p w14:paraId="7821281C" w14:textId="29246751" w:rsidR="007271AD" w:rsidRPr="004945E1" w:rsidRDefault="00FB26D9">
      <w:pPr>
        <w:pStyle w:val="ListParagraph"/>
        <w:numPr>
          <w:ilvl w:val="0"/>
          <w:numId w:val="23"/>
        </w:numPr>
        <w:rPr>
          <w:lang w:val="es-VE"/>
        </w:rPr>
      </w:pPr>
      <w:r w:rsidRPr="004945E1">
        <w:rPr>
          <w:b/>
          <w:lang w:val="es-VE"/>
        </w:rPr>
        <w:t>Llevar a cabo Evaluaciones de CE cuando corresponda</w:t>
      </w:r>
      <w:r w:rsidRPr="004945E1">
        <w:rPr>
          <w:lang w:val="es-VE"/>
        </w:rPr>
        <w:t xml:space="preserve">, lo que incluye </w:t>
      </w:r>
      <w:r w:rsidR="006843F0" w:rsidRPr="004945E1">
        <w:rPr>
          <w:lang w:val="es-VE"/>
        </w:rPr>
        <w:t>llenar</w:t>
      </w:r>
      <w:r w:rsidRPr="004945E1">
        <w:rPr>
          <w:lang w:val="es-VE"/>
        </w:rPr>
        <w:t xml:space="preserve"> la Divulgación de Información y la comunicación necesaria con CoC y otros Socios de CE</w:t>
      </w:r>
    </w:p>
    <w:p w14:paraId="50125264" w14:textId="2012F2AD" w:rsidR="007271AD" w:rsidRPr="004945E1" w:rsidRDefault="00FB26D9">
      <w:pPr>
        <w:pStyle w:val="ListParagraph"/>
        <w:numPr>
          <w:ilvl w:val="0"/>
          <w:numId w:val="23"/>
        </w:numPr>
        <w:rPr>
          <w:lang w:val="es-VE"/>
        </w:rPr>
      </w:pPr>
      <w:r w:rsidRPr="004945E1">
        <w:rPr>
          <w:b/>
          <w:lang w:val="es-VE"/>
        </w:rPr>
        <w:t>Participar semanalmente en las reuniones de Conferencias de Casos de CoC</w:t>
      </w:r>
      <w:r w:rsidRPr="004945E1">
        <w:rPr>
          <w:lang w:val="es-VE"/>
        </w:rPr>
        <w:t xml:space="preserve"> y mantener una comunicación regular con el personal de CoC cuando no pueda asistir</w:t>
      </w:r>
    </w:p>
    <w:p w14:paraId="105459BA" w14:textId="1C9D31C5" w:rsidR="007271AD" w:rsidRPr="004945E1" w:rsidRDefault="00FB26D9">
      <w:pPr>
        <w:pStyle w:val="ListParagraph"/>
        <w:numPr>
          <w:ilvl w:val="0"/>
          <w:numId w:val="23"/>
        </w:numPr>
        <w:rPr>
          <w:lang w:val="es-VE"/>
        </w:rPr>
      </w:pPr>
      <w:r w:rsidRPr="004945E1">
        <w:rPr>
          <w:b/>
          <w:lang w:val="es-VE"/>
        </w:rPr>
        <w:t xml:space="preserve">Mantener actualizados los datos y la información del cliente en </w:t>
      </w:r>
      <w:r w:rsidR="000A6993" w:rsidRPr="004945E1">
        <w:rPr>
          <w:b/>
          <w:lang w:val="es-VE"/>
        </w:rPr>
        <w:t xml:space="preserve">el </w:t>
      </w:r>
      <w:r w:rsidRPr="004945E1">
        <w:rPr>
          <w:b/>
          <w:lang w:val="es-VE"/>
        </w:rPr>
        <w:t>HMIS o</w:t>
      </w:r>
      <w:r w:rsidRPr="004945E1">
        <w:rPr>
          <w:lang w:val="es-VE"/>
        </w:rPr>
        <w:t xml:space="preserve"> para el personal de CoC, incluido el cumplimiento de los requisitos de Elementos de Datos de CoC </w:t>
      </w:r>
    </w:p>
    <w:p w14:paraId="030101F1" w14:textId="5BCCC469" w:rsidR="007271AD" w:rsidRPr="004945E1" w:rsidRDefault="00FB26D9">
      <w:pPr>
        <w:pStyle w:val="ListParagraph"/>
        <w:numPr>
          <w:ilvl w:val="0"/>
          <w:numId w:val="23"/>
        </w:numPr>
        <w:rPr>
          <w:lang w:val="es-VE"/>
        </w:rPr>
      </w:pPr>
      <w:r w:rsidRPr="004945E1">
        <w:rPr>
          <w:b/>
          <w:lang w:val="es-VE"/>
        </w:rPr>
        <w:t>Ayudar a los proveedores de vivienda con las transiciones a los recursos de vivienda</w:t>
      </w:r>
      <w:r w:rsidRPr="004945E1">
        <w:rPr>
          <w:lang w:val="es-VE"/>
        </w:rPr>
        <w:t>, incluido el trabajo con los proveedores de vivienda para identificar el plan y los apoyos para transiciones de vivienda exitosas</w:t>
      </w:r>
    </w:p>
    <w:p w14:paraId="25D58F76" w14:textId="769F4368" w:rsidR="007271AD" w:rsidRPr="004945E1" w:rsidRDefault="00FB26D9">
      <w:pPr>
        <w:pStyle w:val="ListParagraph"/>
        <w:numPr>
          <w:ilvl w:val="0"/>
          <w:numId w:val="23"/>
        </w:numPr>
        <w:rPr>
          <w:lang w:val="es-VE"/>
        </w:rPr>
      </w:pPr>
      <w:r w:rsidRPr="004945E1">
        <w:rPr>
          <w:b/>
          <w:lang w:val="es-VE"/>
        </w:rPr>
        <w:t>Asistir a capacitaciones requeridas o recomendadas por CoC</w:t>
      </w:r>
    </w:p>
    <w:p w14:paraId="49E6C31F" w14:textId="6C6B0694" w:rsidR="007271AD" w:rsidRPr="004945E1" w:rsidRDefault="00FB26D9">
      <w:pPr>
        <w:pStyle w:val="Heading2"/>
        <w:rPr>
          <w:lang w:val="es-VE"/>
        </w:rPr>
      </w:pPr>
      <w:r w:rsidRPr="004945E1">
        <w:rPr>
          <w:lang w:val="es-VE"/>
        </w:rPr>
        <w:t>Etapas de la Herramienta para la Evaluación de CE</w:t>
      </w:r>
    </w:p>
    <w:p w14:paraId="34D8459E" w14:textId="77777777" w:rsidR="007271AD" w:rsidRPr="004945E1" w:rsidRDefault="007271AD">
      <w:pPr>
        <w:spacing w:after="160" w:line="259" w:lineRule="auto"/>
        <w:contextualSpacing/>
        <w:rPr>
          <w:sz w:val="22"/>
          <w:u w:val="single"/>
          <w:lang w:val="es-VE"/>
        </w:rPr>
      </w:pPr>
    </w:p>
    <w:p w14:paraId="67F39191" w14:textId="13D97561" w:rsidR="007271AD" w:rsidRPr="004945E1" w:rsidRDefault="00FB26D9">
      <w:pPr>
        <w:spacing w:after="160" w:line="259" w:lineRule="auto"/>
        <w:contextualSpacing/>
        <w:rPr>
          <w:sz w:val="22"/>
          <w:lang w:val="es-VE"/>
        </w:rPr>
      </w:pPr>
      <w:r w:rsidRPr="004945E1">
        <w:rPr>
          <w:sz w:val="22"/>
          <w:lang w:val="es-VE"/>
        </w:rPr>
        <w:t xml:space="preserve">La </w:t>
      </w:r>
      <w:r w:rsidRPr="004945E1">
        <w:rPr>
          <w:b/>
          <w:i/>
          <w:sz w:val="22"/>
          <w:lang w:val="es-VE"/>
        </w:rPr>
        <w:t>Herramienta para la Evaluación de CE de Three County</w:t>
      </w:r>
      <w:r w:rsidRPr="004945E1">
        <w:rPr>
          <w:sz w:val="22"/>
          <w:lang w:val="es-VE"/>
        </w:rPr>
        <w:t xml:space="preserve"> incluye tres etapas y ocho secciones, como se refleja en la herramienta:</w:t>
      </w:r>
    </w:p>
    <w:p w14:paraId="06245959" w14:textId="4F7EEA36" w:rsidR="007271AD" w:rsidRPr="004945E1" w:rsidRDefault="00FB26D9">
      <w:pPr>
        <w:pStyle w:val="ListParagraph"/>
        <w:numPr>
          <w:ilvl w:val="0"/>
          <w:numId w:val="18"/>
        </w:numPr>
        <w:rPr>
          <w:b/>
          <w:sz w:val="22"/>
          <w:lang w:val="es-VE"/>
        </w:rPr>
      </w:pPr>
      <w:r w:rsidRPr="004945E1">
        <w:rPr>
          <w:b/>
          <w:sz w:val="22"/>
          <w:lang w:val="es-VE"/>
        </w:rPr>
        <w:t>Etapa 1: Recopilación de información básica y situación de vida actual y anterior</w:t>
      </w:r>
    </w:p>
    <w:p w14:paraId="14F6553D" w14:textId="16FCD982" w:rsidR="007271AD" w:rsidRPr="004945E1" w:rsidRDefault="00FB26D9">
      <w:pPr>
        <w:pStyle w:val="ListParagraph"/>
        <w:numPr>
          <w:ilvl w:val="1"/>
          <w:numId w:val="18"/>
        </w:numPr>
        <w:rPr>
          <w:sz w:val="22"/>
          <w:lang w:val="es-VE"/>
        </w:rPr>
      </w:pPr>
      <w:r w:rsidRPr="004945E1">
        <w:rPr>
          <w:sz w:val="22"/>
          <w:lang w:val="es-VE"/>
        </w:rPr>
        <w:t>El uso de</w:t>
      </w:r>
      <w:r w:rsidRPr="004945E1">
        <w:rPr>
          <w:iCs/>
          <w:sz w:val="22"/>
          <w:lang w:val="es-VE"/>
        </w:rPr>
        <w:t xml:space="preserve"> la herramienta debe ocurrir cuando un individuo o familia se presenta en una crisis de vivienda. La decisión inicial de utilizar la herramienta de Evaluación de CE debe basarse en tres factores: </w:t>
      </w:r>
      <w:r w:rsidRPr="004945E1">
        <w:rPr>
          <w:i/>
          <w:sz w:val="22"/>
          <w:lang w:val="es-VE"/>
        </w:rPr>
        <w:t xml:space="preserve">experimentar la falta de vivienda o el riesgo inminente de falta de vivienda literal; residir en o parcialmente en el condado de Franklin, Hampshire o Berkshire; y necesitar recursos o apoyos relacionados con la vivienda. </w:t>
      </w:r>
    </w:p>
    <w:p w14:paraId="24A299C3" w14:textId="483F0832" w:rsidR="007271AD" w:rsidRPr="004945E1" w:rsidRDefault="00FB26D9">
      <w:pPr>
        <w:pStyle w:val="ListParagraph"/>
        <w:numPr>
          <w:ilvl w:val="1"/>
          <w:numId w:val="18"/>
        </w:numPr>
        <w:rPr>
          <w:sz w:val="22"/>
          <w:lang w:val="es-VE"/>
        </w:rPr>
      </w:pPr>
      <w:r w:rsidRPr="004945E1">
        <w:rPr>
          <w:i/>
          <w:sz w:val="22"/>
          <w:lang w:val="es-VE"/>
        </w:rPr>
        <w:t>La Información Básica</w:t>
      </w:r>
      <w:r w:rsidRPr="004945E1">
        <w:rPr>
          <w:sz w:val="22"/>
          <w:lang w:val="es-VE"/>
        </w:rPr>
        <w:t xml:space="preserve"> recopila la información necesaria para crear un perfil en</w:t>
      </w:r>
      <w:r w:rsidR="002B430B" w:rsidRPr="004945E1">
        <w:rPr>
          <w:sz w:val="22"/>
          <w:lang w:val="es-VE"/>
        </w:rPr>
        <w:t xml:space="preserve"> el</w:t>
      </w:r>
      <w:r w:rsidRPr="004945E1">
        <w:rPr>
          <w:sz w:val="22"/>
          <w:lang w:val="es-VE"/>
        </w:rPr>
        <w:t xml:space="preserve"> HMIS y otra información importante que afecta las opciones de vivienda y la priorización de los recursos de vivienda.</w:t>
      </w:r>
    </w:p>
    <w:p w14:paraId="0F21E865" w14:textId="6D24145C" w:rsidR="007271AD" w:rsidRPr="004945E1" w:rsidRDefault="00FB26D9">
      <w:pPr>
        <w:pStyle w:val="ListParagraph"/>
        <w:numPr>
          <w:ilvl w:val="1"/>
          <w:numId w:val="18"/>
        </w:numPr>
        <w:rPr>
          <w:sz w:val="22"/>
          <w:lang w:val="es-VE"/>
        </w:rPr>
      </w:pPr>
      <w:r w:rsidRPr="004945E1">
        <w:rPr>
          <w:i/>
          <w:sz w:val="22"/>
          <w:lang w:val="es-VE"/>
        </w:rPr>
        <w:t>La Situación de Vida Actual</w:t>
      </w:r>
      <w:r w:rsidRPr="004945E1">
        <w:rPr>
          <w:sz w:val="22"/>
          <w:lang w:val="es-VE"/>
        </w:rPr>
        <w:t xml:space="preserve"> captura información actualizada sobre dónde se encuentra alguien y cuál es la situación de vida actual.</w:t>
      </w:r>
    </w:p>
    <w:p w14:paraId="4A01E23E" w14:textId="68A6F2EA" w:rsidR="007271AD" w:rsidRPr="004945E1" w:rsidRDefault="00FB26D9">
      <w:pPr>
        <w:pStyle w:val="ListParagraph"/>
        <w:numPr>
          <w:ilvl w:val="1"/>
          <w:numId w:val="18"/>
        </w:numPr>
        <w:rPr>
          <w:sz w:val="22"/>
          <w:lang w:val="es-VE"/>
        </w:rPr>
      </w:pPr>
      <w:r w:rsidRPr="004945E1">
        <w:rPr>
          <w:i/>
          <w:sz w:val="22"/>
          <w:lang w:val="es-VE"/>
        </w:rPr>
        <w:t>La Situación de Vida Anterior</w:t>
      </w:r>
      <w:r w:rsidRPr="004945E1">
        <w:rPr>
          <w:sz w:val="22"/>
          <w:lang w:val="es-VE"/>
        </w:rPr>
        <w:t xml:space="preserve"> captura información sobre la situación de vida antes de la fecha de evaluación e información sobre el inicio y la duración de la falta de vivienda.</w:t>
      </w:r>
    </w:p>
    <w:p w14:paraId="04B4374A" w14:textId="139C3CF5" w:rsidR="007271AD" w:rsidRPr="004945E1" w:rsidRDefault="00FB26D9">
      <w:pPr>
        <w:pStyle w:val="ListParagraph"/>
        <w:numPr>
          <w:ilvl w:val="0"/>
          <w:numId w:val="18"/>
        </w:numPr>
        <w:rPr>
          <w:b/>
          <w:sz w:val="22"/>
          <w:lang w:val="es-VE"/>
        </w:rPr>
      </w:pPr>
      <w:r w:rsidRPr="004945E1">
        <w:rPr>
          <w:b/>
          <w:sz w:val="22"/>
          <w:lang w:val="es-VE"/>
        </w:rPr>
        <w:t xml:space="preserve">Etapa 2: Triaje del </w:t>
      </w:r>
      <w:r w:rsidR="002B430B" w:rsidRPr="004945E1">
        <w:rPr>
          <w:b/>
          <w:sz w:val="22"/>
          <w:lang w:val="es-VE"/>
        </w:rPr>
        <w:t>estado de personas sin hogar</w:t>
      </w:r>
    </w:p>
    <w:p w14:paraId="09F70BCD" w14:textId="6580AF6A" w:rsidR="007271AD" w:rsidRPr="004945E1" w:rsidRDefault="00FB26D9">
      <w:pPr>
        <w:pStyle w:val="ListParagraph"/>
        <w:numPr>
          <w:ilvl w:val="1"/>
          <w:numId w:val="18"/>
        </w:numPr>
        <w:rPr>
          <w:b/>
          <w:sz w:val="22"/>
          <w:lang w:val="es-VE"/>
        </w:rPr>
      </w:pPr>
      <w:r w:rsidRPr="004945E1">
        <w:rPr>
          <w:lang w:val="es-VE"/>
        </w:rPr>
        <w:t xml:space="preserve">El </w:t>
      </w:r>
      <w:r w:rsidRPr="004945E1">
        <w:rPr>
          <w:i/>
          <w:sz w:val="22"/>
          <w:lang w:val="es-VE"/>
        </w:rPr>
        <w:t xml:space="preserve">Triaje del Estado de Personas Sin Hogar </w:t>
      </w:r>
      <w:r w:rsidRPr="004945E1">
        <w:rPr>
          <w:sz w:val="22"/>
          <w:lang w:val="es-VE"/>
        </w:rPr>
        <w:t xml:space="preserve">se utiliza para indicar si un evaluador debe continuar realizando el resto de la evaluación o si el evaluador debe detener la evaluación y hacer una remisión inmediata a otros recursos, como Prevención para personas en riesgo de quedarse sin hogar, Desvío para personas sin hogar que pueden conectarse de inmediato con opciones de vivienda u otros apoyos. Los evaluadores deben estar preparados para hacer referencias apropiadas incluso si continúan realizando la evaluación. </w:t>
      </w:r>
    </w:p>
    <w:p w14:paraId="10A943A9" w14:textId="72D6A3E9" w:rsidR="007271AD" w:rsidRPr="004945E1" w:rsidRDefault="00FB26D9">
      <w:pPr>
        <w:pStyle w:val="ListParagraph"/>
        <w:numPr>
          <w:ilvl w:val="1"/>
          <w:numId w:val="18"/>
        </w:numPr>
        <w:rPr>
          <w:b/>
          <w:sz w:val="22"/>
          <w:lang w:val="es-VE"/>
        </w:rPr>
      </w:pPr>
      <w:r w:rsidRPr="004945E1">
        <w:rPr>
          <w:sz w:val="22"/>
          <w:lang w:val="es-VE"/>
        </w:rPr>
        <w:lastRenderedPageBreak/>
        <w:t xml:space="preserve">La sección Triaje del Estado de Personas Sin Hogar explica si se procede o no en cinco situaciones específicas, que se describen con mayor detalle en la sección Aclaración y Orientación de la Herramienta </w:t>
      </w:r>
      <w:r w:rsidR="002B430B" w:rsidRPr="004945E1">
        <w:rPr>
          <w:sz w:val="22"/>
          <w:lang w:val="es-VE"/>
        </w:rPr>
        <w:t>para la</w:t>
      </w:r>
      <w:r w:rsidRPr="004945E1">
        <w:rPr>
          <w:sz w:val="22"/>
          <w:lang w:val="es-VE"/>
        </w:rPr>
        <w:t xml:space="preserve"> Evaluación de CE. </w:t>
      </w:r>
    </w:p>
    <w:p w14:paraId="48956ECE" w14:textId="1C54D66F" w:rsidR="007271AD" w:rsidRPr="004945E1" w:rsidRDefault="00FB26D9">
      <w:pPr>
        <w:pStyle w:val="ListParagraph"/>
        <w:numPr>
          <w:ilvl w:val="0"/>
          <w:numId w:val="18"/>
        </w:numPr>
        <w:rPr>
          <w:b/>
          <w:sz w:val="22"/>
          <w:lang w:val="es-VE"/>
        </w:rPr>
      </w:pPr>
      <w:r w:rsidRPr="004945E1">
        <w:rPr>
          <w:b/>
          <w:sz w:val="22"/>
          <w:lang w:val="es-VE"/>
        </w:rPr>
        <w:t xml:space="preserve">Etapa 3: Realización de una </w:t>
      </w:r>
      <w:r w:rsidR="00095F5D" w:rsidRPr="004945E1">
        <w:rPr>
          <w:b/>
          <w:sz w:val="22"/>
          <w:lang w:val="es-VE"/>
        </w:rPr>
        <w:t>evaluación de vulnerabilidad: ubicación de la vivienda, notas para resolver problemas de vivienda, evaluación de las barreras y</w:t>
      </w:r>
      <w:r w:rsidR="00922B85" w:rsidRPr="004945E1">
        <w:rPr>
          <w:b/>
          <w:sz w:val="22"/>
          <w:lang w:val="es-VE"/>
        </w:rPr>
        <w:t xml:space="preserve"> </w:t>
      </w:r>
      <w:r w:rsidR="00095F5D" w:rsidRPr="004945E1">
        <w:rPr>
          <w:b/>
          <w:sz w:val="22"/>
          <w:lang w:val="es-VE"/>
        </w:rPr>
        <w:t>vulnerabilidad</w:t>
      </w:r>
      <w:r w:rsidR="00922B85" w:rsidRPr="004945E1">
        <w:rPr>
          <w:b/>
          <w:sz w:val="22"/>
          <w:lang w:val="es-VE"/>
        </w:rPr>
        <w:t>es</w:t>
      </w:r>
      <w:r w:rsidR="00095F5D" w:rsidRPr="004945E1">
        <w:rPr>
          <w:b/>
          <w:sz w:val="22"/>
          <w:lang w:val="es-VE"/>
        </w:rPr>
        <w:t xml:space="preserve"> de la vivienda, y consideraciones de </w:t>
      </w:r>
      <w:r w:rsidR="00922B85" w:rsidRPr="004945E1">
        <w:rPr>
          <w:b/>
          <w:sz w:val="22"/>
          <w:lang w:val="es-VE"/>
        </w:rPr>
        <w:t>coincidencia</w:t>
      </w:r>
      <w:r w:rsidR="00095F5D" w:rsidRPr="004945E1">
        <w:rPr>
          <w:b/>
          <w:sz w:val="22"/>
          <w:lang w:val="es-VE"/>
        </w:rPr>
        <w:t xml:space="preserve"> de viviendas</w:t>
      </w:r>
    </w:p>
    <w:p w14:paraId="27C8A875" w14:textId="73577153" w:rsidR="007271AD" w:rsidRPr="004945E1" w:rsidRDefault="00FB26D9">
      <w:pPr>
        <w:pStyle w:val="ListParagraph"/>
        <w:numPr>
          <w:ilvl w:val="1"/>
          <w:numId w:val="18"/>
        </w:numPr>
        <w:rPr>
          <w:sz w:val="22"/>
          <w:lang w:val="es-VE"/>
        </w:rPr>
      </w:pPr>
      <w:r w:rsidRPr="004945E1">
        <w:rPr>
          <w:sz w:val="22"/>
          <w:lang w:val="es-VE"/>
        </w:rPr>
        <w:t xml:space="preserve">La tercera parte de la </w:t>
      </w:r>
      <w:r w:rsidRPr="004945E1">
        <w:rPr>
          <w:b/>
          <w:i/>
          <w:iCs/>
          <w:sz w:val="22"/>
          <w:lang w:val="es-VE"/>
        </w:rPr>
        <w:t>Herramienta para la Evaluación de CE</w:t>
      </w:r>
      <w:r w:rsidRPr="004945E1">
        <w:rPr>
          <w:sz w:val="22"/>
          <w:lang w:val="es-VE"/>
        </w:rPr>
        <w:t xml:space="preserve"> se utiliza para identificar las necesidades y preferencias de vivienda y para identificar las barreras y vulnerabilidades de vivienda que indican una necesidad de priorización. </w:t>
      </w:r>
    </w:p>
    <w:p w14:paraId="57F35F41" w14:textId="6DE93E20" w:rsidR="007271AD" w:rsidRPr="004945E1" w:rsidRDefault="00FB26D9">
      <w:pPr>
        <w:pStyle w:val="ListParagraph"/>
        <w:numPr>
          <w:ilvl w:val="1"/>
          <w:numId w:val="18"/>
        </w:numPr>
        <w:rPr>
          <w:sz w:val="22"/>
          <w:lang w:val="es-VE"/>
        </w:rPr>
      </w:pPr>
      <w:r w:rsidRPr="004945E1">
        <w:rPr>
          <w:lang w:val="es-VE"/>
        </w:rPr>
        <w:t xml:space="preserve">La </w:t>
      </w:r>
      <w:r w:rsidRPr="004945E1">
        <w:rPr>
          <w:i/>
          <w:sz w:val="22"/>
          <w:lang w:val="es-VE"/>
        </w:rPr>
        <w:t>Ubicación y Preferencia de Vivienda</w:t>
      </w:r>
      <w:r w:rsidRPr="004945E1">
        <w:rPr>
          <w:sz w:val="22"/>
          <w:lang w:val="es-VE"/>
        </w:rPr>
        <w:t xml:space="preserve"> identifica todas las áreas dentro de los condados de Franklin, Hampshire y Berkshire donde una persona o una familia están interesadas o dispuestas a recibir servicios o vivienda. </w:t>
      </w:r>
    </w:p>
    <w:p w14:paraId="2801555A" w14:textId="35C5767B" w:rsidR="007271AD" w:rsidRPr="004945E1" w:rsidRDefault="00FB26D9">
      <w:pPr>
        <w:pStyle w:val="ListParagraph"/>
        <w:numPr>
          <w:ilvl w:val="1"/>
          <w:numId w:val="18"/>
        </w:numPr>
        <w:rPr>
          <w:b/>
          <w:sz w:val="22"/>
          <w:lang w:val="es-VE"/>
        </w:rPr>
      </w:pPr>
      <w:r w:rsidRPr="004945E1">
        <w:rPr>
          <w:lang w:val="es-VE"/>
        </w:rPr>
        <w:t xml:space="preserve">Las </w:t>
      </w:r>
      <w:r w:rsidRPr="004945E1">
        <w:rPr>
          <w:i/>
          <w:sz w:val="22"/>
          <w:lang w:val="es-VE"/>
        </w:rPr>
        <w:t xml:space="preserve">Notas </w:t>
      </w:r>
      <w:r w:rsidR="00095F5D" w:rsidRPr="004945E1">
        <w:rPr>
          <w:i/>
          <w:sz w:val="22"/>
          <w:lang w:val="es-VE"/>
        </w:rPr>
        <w:t>para Resolver</w:t>
      </w:r>
      <w:r w:rsidRPr="004945E1">
        <w:rPr>
          <w:i/>
          <w:sz w:val="22"/>
          <w:lang w:val="es-VE"/>
        </w:rPr>
        <w:t xml:space="preserve"> Problemas de Vivienda </w:t>
      </w:r>
      <w:r w:rsidRPr="004945E1">
        <w:rPr>
          <w:iCs/>
          <w:sz w:val="22"/>
          <w:lang w:val="es-VE"/>
        </w:rPr>
        <w:t>fomentan un proceso exploratorio y orgánico</w:t>
      </w:r>
      <w:r w:rsidRPr="004945E1">
        <w:rPr>
          <w:sz w:val="22"/>
          <w:lang w:val="es-VE"/>
        </w:rPr>
        <w:t xml:space="preserve"> para comprender mejor los matices de la situación de vivienda de una persona o familia, las opciones y los recursos de vivienda viables, y permiten que el personal determine si los servicios de referencia específicos y/o la asistencia financiera pueden ayudar a resolver la falta de vivienda. Si bien aquí se menciona específicamente la resolución de problemas de vivienda, la conversación y las estrategias de planificación centradas en la persona no son lineales y deben continuar durante el transcurso de la prestación de apoyo y servicios y a lo largo de las interacciones del hogar y la inscripción en CE. </w:t>
      </w:r>
    </w:p>
    <w:p w14:paraId="2E9A16C8" w14:textId="5A70EB2D" w:rsidR="007271AD" w:rsidRPr="004945E1" w:rsidRDefault="00FB26D9">
      <w:pPr>
        <w:pStyle w:val="ListParagraph"/>
        <w:numPr>
          <w:ilvl w:val="1"/>
          <w:numId w:val="18"/>
        </w:numPr>
        <w:rPr>
          <w:sz w:val="22"/>
          <w:lang w:val="es-VE"/>
        </w:rPr>
      </w:pPr>
      <w:r w:rsidRPr="004945E1">
        <w:rPr>
          <w:lang w:val="es-VE"/>
        </w:rPr>
        <w:t xml:space="preserve">La </w:t>
      </w:r>
      <w:r w:rsidRPr="004945E1">
        <w:rPr>
          <w:i/>
          <w:sz w:val="22"/>
          <w:lang w:val="es-VE"/>
        </w:rPr>
        <w:t>Evaluación de las Barreras y Vulnerabilidades de la Vivienda</w:t>
      </w:r>
      <w:r w:rsidRPr="004945E1">
        <w:rPr>
          <w:sz w:val="22"/>
          <w:lang w:val="es-VE"/>
        </w:rPr>
        <w:t xml:space="preserve"> se utiliza para indicar las barreras y vulnerabilidades de la vivienda que afectan la capacidad de obtener y mantener una vivienda segura y permanente. Esta sección produce un puntaje que luego se usa para priorizar los hogares para recursos limitados. </w:t>
      </w:r>
    </w:p>
    <w:p w14:paraId="38FB116A" w14:textId="0DA73D15" w:rsidR="007271AD" w:rsidRPr="004945E1" w:rsidRDefault="00FB26D9">
      <w:pPr>
        <w:pStyle w:val="ListParagraph"/>
        <w:numPr>
          <w:ilvl w:val="1"/>
          <w:numId w:val="18"/>
        </w:numPr>
        <w:rPr>
          <w:sz w:val="22"/>
          <w:lang w:val="es-VE"/>
        </w:rPr>
      </w:pPr>
      <w:r w:rsidRPr="004945E1">
        <w:rPr>
          <w:lang w:val="es-VE"/>
        </w:rPr>
        <w:t xml:space="preserve">Las </w:t>
      </w:r>
      <w:r w:rsidRPr="004945E1">
        <w:rPr>
          <w:i/>
          <w:sz w:val="22"/>
          <w:lang w:val="es-VE"/>
        </w:rPr>
        <w:t xml:space="preserve">Consideraciones de Coincidencia de Vivienda </w:t>
      </w:r>
      <w:r w:rsidRPr="004945E1">
        <w:rPr>
          <w:sz w:val="22"/>
          <w:lang w:val="es-VE"/>
        </w:rPr>
        <w:t xml:space="preserve">recopila información relevante para hacer una coincidencia de vivienda exitosa, tanto en lo que respecta a las preferencias como a las necesidades. </w:t>
      </w:r>
    </w:p>
    <w:p w14:paraId="6868CC26" w14:textId="77777777" w:rsidR="007271AD" w:rsidRPr="004945E1" w:rsidRDefault="007271AD">
      <w:pPr>
        <w:pStyle w:val="ListParagraph"/>
        <w:rPr>
          <w:sz w:val="22"/>
          <w:lang w:val="es-VE"/>
        </w:rPr>
      </w:pPr>
    </w:p>
    <w:p w14:paraId="176CB150" w14:textId="1B834841" w:rsidR="007271AD" w:rsidRPr="004945E1" w:rsidRDefault="00FB26D9">
      <w:pPr>
        <w:rPr>
          <w:i/>
          <w:iCs/>
          <w:sz w:val="22"/>
          <w:lang w:val="es-VE"/>
        </w:rPr>
      </w:pPr>
      <w:r w:rsidRPr="004945E1">
        <w:rPr>
          <w:sz w:val="22"/>
          <w:lang w:val="es-VE"/>
        </w:rPr>
        <w:t xml:space="preserve">Independientemente de si un hogar recibe una evaluación completa y se incluye en la Lista por Nombres, es esencial entablar una conversación para explorar los posibles recursos que pueden estar disponibles para ayudarlos a resolver su crisis de vivienda y/o la falta de vivienda. El personal que realiza las evaluaciones debe tener un amplio conocimiento de los recursos de la comunidad local y brindar asistencia individualizada para acceder a los recursos disponibles ("entrega cálida") cuando sea necesario y deseado. </w:t>
      </w:r>
    </w:p>
    <w:p w14:paraId="6A52440B" w14:textId="4ABB9BF9" w:rsidR="007271AD" w:rsidRPr="004945E1" w:rsidRDefault="00FB26D9">
      <w:pPr>
        <w:pStyle w:val="Heading2"/>
        <w:rPr>
          <w:lang w:val="es-VE"/>
        </w:rPr>
      </w:pPr>
      <w:bookmarkStart w:id="1" w:name="_Hlk94824273"/>
      <w:r w:rsidRPr="004945E1">
        <w:rPr>
          <w:lang w:val="es-VE"/>
        </w:rPr>
        <w:t>Capacitación y Competencias Básicas del Evaluador de CE</w:t>
      </w:r>
    </w:p>
    <w:bookmarkEnd w:id="1"/>
    <w:p w14:paraId="4F7D23E7" w14:textId="77777777" w:rsidR="007271AD" w:rsidRPr="004945E1" w:rsidRDefault="007271AD">
      <w:pPr>
        <w:rPr>
          <w:sz w:val="22"/>
          <w:lang w:val="es-VE"/>
        </w:rPr>
      </w:pPr>
    </w:p>
    <w:p w14:paraId="2A26174A" w14:textId="2561BFEE" w:rsidR="007271AD" w:rsidRPr="004945E1" w:rsidRDefault="00FB26D9">
      <w:pPr>
        <w:rPr>
          <w:sz w:val="22"/>
          <w:lang w:val="es-VE"/>
        </w:rPr>
      </w:pPr>
      <w:r w:rsidRPr="004945E1">
        <w:rPr>
          <w:sz w:val="22"/>
          <w:lang w:val="es-VE"/>
        </w:rPr>
        <w:t xml:space="preserve">Al apoyar a las personas y familias en el sistema de CE, todos los asesores y los Socios de CE deben adherirse a los principios de atención informados sobre el trauma que respaldan la seguridad, son transparentes y generan confianza, fomentan la elección, la autonomía y el empoderamiento, y son </w:t>
      </w:r>
      <w:r w:rsidR="00952B40" w:rsidRPr="004945E1">
        <w:rPr>
          <w:sz w:val="22"/>
          <w:lang w:val="es-VE"/>
        </w:rPr>
        <w:t xml:space="preserve">apropiados en términos </w:t>
      </w:r>
      <w:r w:rsidRPr="004945E1">
        <w:rPr>
          <w:sz w:val="22"/>
          <w:lang w:val="es-VE"/>
        </w:rPr>
        <w:t>cultural</w:t>
      </w:r>
      <w:r w:rsidR="00952B40" w:rsidRPr="004945E1">
        <w:rPr>
          <w:sz w:val="22"/>
          <w:lang w:val="es-VE"/>
        </w:rPr>
        <w:t>es</w:t>
      </w:r>
      <w:r w:rsidRPr="004945E1">
        <w:rPr>
          <w:sz w:val="22"/>
          <w:lang w:val="es-VE"/>
        </w:rPr>
        <w:t>, históric</w:t>
      </w:r>
      <w:r w:rsidR="00952B40" w:rsidRPr="004945E1">
        <w:rPr>
          <w:sz w:val="22"/>
          <w:lang w:val="es-VE"/>
        </w:rPr>
        <w:t>os</w:t>
      </w:r>
      <w:r w:rsidRPr="004945E1">
        <w:rPr>
          <w:sz w:val="22"/>
          <w:lang w:val="es-VE"/>
        </w:rPr>
        <w:t xml:space="preserve"> y de identidad de género. Para obtener una descripción general y una discusión de estos principios, consulte </w:t>
      </w:r>
      <w:hyperlink r:id="rId13" w:history="1">
        <w:r w:rsidRPr="004945E1">
          <w:rPr>
            <w:rStyle w:val="Hyperlink"/>
            <w:sz w:val="22"/>
            <w:u w:val="none"/>
            <w:lang w:val="es-VE"/>
          </w:rPr>
          <w:t>Concepto de Trauma y Orientación para un Enfoque Informado sobre el Trauma de SAMHSA</w:t>
        </w:r>
      </w:hyperlink>
      <w:r w:rsidRPr="004945E1">
        <w:rPr>
          <w:sz w:val="22"/>
          <w:lang w:val="es-VE"/>
        </w:rPr>
        <w:t xml:space="preserve"> (p. 15).</w:t>
      </w:r>
      <w:r w:rsidRPr="004945E1">
        <w:rPr>
          <w:rStyle w:val="EndnoteReference"/>
          <w:sz w:val="22"/>
          <w:lang w:val="es-VE"/>
        </w:rPr>
        <w:endnoteReference w:id="1"/>
      </w:r>
      <w:r w:rsidRPr="004945E1">
        <w:rPr>
          <w:rStyle w:val="EndnoteReference"/>
          <w:sz w:val="22"/>
          <w:lang w:val="es-VE"/>
        </w:rPr>
        <w:endnoteReference w:id="2"/>
      </w:r>
    </w:p>
    <w:p w14:paraId="5E893EF5" w14:textId="77777777" w:rsidR="007271AD" w:rsidRPr="004945E1" w:rsidRDefault="007271AD">
      <w:pPr>
        <w:rPr>
          <w:sz w:val="22"/>
          <w:lang w:val="es-VE"/>
        </w:rPr>
      </w:pPr>
    </w:p>
    <w:p w14:paraId="7B2A6B0E" w14:textId="6A5C694A" w:rsidR="007271AD" w:rsidRPr="004945E1" w:rsidRDefault="00FB26D9">
      <w:pPr>
        <w:pStyle w:val="NoSpacing"/>
        <w:rPr>
          <w:lang w:val="es-VE"/>
        </w:rPr>
      </w:pPr>
      <w:r w:rsidRPr="004945E1">
        <w:rPr>
          <w:lang w:val="es-VE"/>
        </w:rPr>
        <w:t>Para llevar a cabo evaluaciones de CE y brindar servicios consistentes con los principios informados sobre el trauma, el personal debe recibir capacitación y demostrar competencia en las siguientes habilidades básicas de intervención en crisis</w:t>
      </w:r>
      <w:r w:rsidRPr="004945E1">
        <w:rPr>
          <w:rStyle w:val="EndnoteReference"/>
          <w:lang w:val="es-VE"/>
        </w:rPr>
        <w:endnoteReference w:id="3"/>
      </w:r>
      <w:r w:rsidRPr="004945E1">
        <w:rPr>
          <w:lang w:val="es-VE"/>
        </w:rPr>
        <w:t>:</w:t>
      </w:r>
    </w:p>
    <w:p w14:paraId="2559FD16" w14:textId="379B97A3" w:rsidR="007271AD" w:rsidRPr="004945E1" w:rsidRDefault="00FB26D9">
      <w:pPr>
        <w:pStyle w:val="NoSpacing"/>
        <w:numPr>
          <w:ilvl w:val="0"/>
          <w:numId w:val="8"/>
        </w:numPr>
        <w:rPr>
          <w:lang w:val="es-VE"/>
        </w:rPr>
      </w:pPr>
      <w:r w:rsidRPr="004945E1">
        <w:rPr>
          <w:b/>
          <w:i/>
          <w:iCs/>
          <w:lang w:val="es-VE"/>
        </w:rPr>
        <w:t>Establecer una buena relación</w:t>
      </w:r>
      <w:r w:rsidRPr="004945E1">
        <w:rPr>
          <w:lang w:val="es-VE"/>
        </w:rPr>
        <w:t xml:space="preserve"> </w:t>
      </w:r>
      <w:r w:rsidRPr="004945E1">
        <w:rPr>
          <w:b/>
          <w:i/>
          <w:iCs/>
          <w:lang w:val="es-VE"/>
        </w:rPr>
        <w:t>y demostrar empatía</w:t>
      </w:r>
      <w:r w:rsidRPr="004945E1">
        <w:rPr>
          <w:lang w:val="es-VE"/>
        </w:rPr>
        <w:t>: esto incluye identificar quién es usted, usar declaraciones iniciales para ayudar a las personas a sentirse cómodas y declaraciones de apoyo que transmitan atención, comprensión y sensibilidad, lo que indica que usted está tratando de comprender cómo le está yendo a cada persona actualmente y cómo esta vive la crisis de la vivienda.</w:t>
      </w:r>
    </w:p>
    <w:p w14:paraId="084EF85B" w14:textId="1D102A54" w:rsidR="007271AD" w:rsidRPr="004945E1" w:rsidRDefault="00FB26D9">
      <w:pPr>
        <w:pStyle w:val="NoSpacing"/>
        <w:numPr>
          <w:ilvl w:val="0"/>
          <w:numId w:val="8"/>
        </w:numPr>
        <w:rPr>
          <w:lang w:val="es-VE"/>
        </w:rPr>
      </w:pPr>
      <w:r w:rsidRPr="004945E1">
        <w:rPr>
          <w:b/>
          <w:i/>
          <w:iCs/>
          <w:lang w:val="es-VE"/>
        </w:rPr>
        <w:t>Habilidades para calmar</w:t>
      </w:r>
      <w:r w:rsidRPr="004945E1">
        <w:rPr>
          <w:lang w:val="es-VE"/>
        </w:rPr>
        <w:t>: estas son cosas que puede hacer si la persona muestra miedo extremo o pánico o está demasiado molesta, agitada o desorientada para hablar, incluso ayudar a la persona a concentrarse y brindarle un entorno de apoyo.</w:t>
      </w:r>
    </w:p>
    <w:p w14:paraId="589A79D9" w14:textId="225ABFF4" w:rsidR="007271AD" w:rsidRPr="004945E1" w:rsidRDefault="00FB26D9">
      <w:pPr>
        <w:pStyle w:val="NoSpacing"/>
        <w:numPr>
          <w:ilvl w:val="0"/>
          <w:numId w:val="8"/>
        </w:numPr>
        <w:rPr>
          <w:lang w:val="es-VE"/>
        </w:rPr>
      </w:pPr>
      <w:r w:rsidRPr="004945E1">
        <w:rPr>
          <w:b/>
          <w:i/>
          <w:iCs/>
          <w:lang w:val="es-VE"/>
        </w:rPr>
        <w:lastRenderedPageBreak/>
        <w:t>Escuchar activamente,</w:t>
      </w:r>
      <w:r w:rsidRPr="004945E1">
        <w:rPr>
          <w:lang w:val="es-VE"/>
        </w:rPr>
        <w:t xml:space="preserve"> </w:t>
      </w:r>
      <w:r w:rsidRPr="004945E1">
        <w:rPr>
          <w:b/>
          <w:i/>
          <w:iCs/>
          <w:lang w:val="es-VE"/>
        </w:rPr>
        <w:t>parafrasear y validar sentimientos</w:t>
      </w:r>
      <w:r w:rsidRPr="004945E1">
        <w:rPr>
          <w:lang w:val="es-VE"/>
        </w:rPr>
        <w:t xml:space="preserve">: esto implica el uso de medios verbales y no verbales específicos para comunicar escucha, atención, apertura y seguridad. Esto también incluye parafrasear declaraciones para mostrar comprensión de lo que están expresando verbal y no verbalmente sin interpretación o especulación, y asegurarles que sus reacciones y sentimientos son normales y comprensibles. </w:t>
      </w:r>
    </w:p>
    <w:p w14:paraId="39415BEA" w14:textId="029DF10B" w:rsidR="007271AD" w:rsidRPr="004945E1" w:rsidRDefault="00FB26D9">
      <w:pPr>
        <w:pStyle w:val="NoSpacing"/>
        <w:numPr>
          <w:ilvl w:val="0"/>
          <w:numId w:val="8"/>
        </w:numPr>
        <w:rPr>
          <w:lang w:val="es-VE"/>
        </w:rPr>
      </w:pPr>
      <w:r w:rsidRPr="004945E1">
        <w:rPr>
          <w:b/>
          <w:i/>
          <w:iCs/>
          <w:lang w:val="es-VE"/>
        </w:rPr>
        <w:t>Habilidades de transparencia, compromiso y cierre</w:t>
      </w:r>
      <w:r w:rsidRPr="004945E1">
        <w:rPr>
          <w:lang w:val="es-VE"/>
        </w:rPr>
        <w:t xml:space="preserve">: esto incluye ayudar a las personas a comprender el proceso de evaluación y CE básico, así como ayudarlos a predecir y prepararse para lo que sucederá después de la evaluación al proporcionar una explicación clara y fácilmente comprensible de los próximos pasos específicos que deben suceder para acceder a y recibir asistencia para resolver la crisis de vivienda lo más rápido posible. </w:t>
      </w:r>
    </w:p>
    <w:p w14:paraId="1B6FF0EF" w14:textId="77777777" w:rsidR="007271AD" w:rsidRPr="004945E1" w:rsidRDefault="007271AD">
      <w:pPr>
        <w:pStyle w:val="NoSpacing"/>
        <w:rPr>
          <w:lang w:val="es-VE"/>
        </w:rPr>
      </w:pPr>
    </w:p>
    <w:p w14:paraId="2873B358" w14:textId="0246B6CE" w:rsidR="007271AD" w:rsidRPr="004945E1" w:rsidRDefault="00FB26D9">
      <w:pPr>
        <w:rPr>
          <w:sz w:val="22"/>
          <w:lang w:val="es-VE"/>
        </w:rPr>
      </w:pPr>
      <w:r w:rsidRPr="004945E1">
        <w:rPr>
          <w:sz w:val="22"/>
          <w:lang w:val="es-VE"/>
        </w:rPr>
        <w:t xml:space="preserve">Para garantizar que los Evaluadores de CE nuevos y existentes estén preparados para administrar con éxito la </w:t>
      </w:r>
      <w:r w:rsidRPr="004945E1">
        <w:rPr>
          <w:b/>
          <w:i/>
          <w:sz w:val="22"/>
          <w:lang w:val="es-VE"/>
        </w:rPr>
        <w:t>Herramienta para la Evaluación de CE</w:t>
      </w:r>
      <w:r w:rsidRPr="004945E1">
        <w:rPr>
          <w:sz w:val="22"/>
          <w:lang w:val="es-VE"/>
        </w:rPr>
        <w:t>, CoC establecerá un plan de estudios de capacitación que debe completarse según sea necesario. Este esquema incluye ejemplos de próximas capacitaciones. No es exhaustivo y se actualizará con el tiempo.</w:t>
      </w:r>
    </w:p>
    <w:p w14:paraId="68494F24" w14:textId="77777777" w:rsidR="007271AD" w:rsidRPr="004945E1" w:rsidRDefault="007271AD">
      <w:pPr>
        <w:rPr>
          <w:lang w:val="es-VE"/>
        </w:rPr>
      </w:pPr>
    </w:p>
    <w:p w14:paraId="0FC52EBD" w14:textId="67D80996" w:rsidR="007271AD" w:rsidRPr="004945E1" w:rsidRDefault="00FB26D9">
      <w:pPr>
        <w:rPr>
          <w:sz w:val="22"/>
          <w:lang w:val="es-VE"/>
        </w:rPr>
      </w:pPr>
      <w:r w:rsidRPr="004945E1">
        <w:rPr>
          <w:sz w:val="22"/>
          <w:lang w:val="es-VE"/>
        </w:rPr>
        <w:t>Uso de la Herramienta para la Evaluación de CE de Three County</w:t>
      </w:r>
    </w:p>
    <w:p w14:paraId="52D1008A" w14:textId="2951DD91" w:rsidR="007271AD" w:rsidRPr="004945E1" w:rsidRDefault="00FB26D9">
      <w:pPr>
        <w:pStyle w:val="ListParagraph"/>
        <w:numPr>
          <w:ilvl w:val="0"/>
          <w:numId w:val="14"/>
        </w:numPr>
        <w:rPr>
          <w:rStyle w:val="Hyperlink"/>
          <w:b/>
          <w:color w:val="auto"/>
          <w:sz w:val="22"/>
          <w:u w:val="none"/>
          <w:lang w:val="es-VE"/>
        </w:rPr>
      </w:pPr>
      <w:r w:rsidRPr="004945E1">
        <w:rPr>
          <w:sz w:val="22"/>
          <w:szCs w:val="22"/>
          <w:lang w:val="es-VE"/>
        </w:rPr>
        <w:t>Capacitación sobre la</w:t>
      </w:r>
      <w:r w:rsidR="0027525E" w:rsidRPr="004945E1">
        <w:rPr>
          <w:sz w:val="22"/>
          <w:szCs w:val="22"/>
          <w:lang w:val="es-VE"/>
        </w:rPr>
        <w:t xml:space="preserve"> </w:t>
      </w:r>
      <w:hyperlink r:id="rId14" w:history="1">
        <w:r w:rsidRPr="004945E1">
          <w:rPr>
            <w:rStyle w:val="Hyperlink"/>
            <w:sz w:val="22"/>
            <w:u w:val="none"/>
            <w:lang w:val="es-VE"/>
          </w:rPr>
          <w:t>nueva</w:t>
        </w:r>
      </w:hyperlink>
      <w:r w:rsidRPr="004945E1">
        <w:rPr>
          <w:rStyle w:val="Hyperlink"/>
          <w:sz w:val="22"/>
          <w:u w:val="none"/>
          <w:lang w:val="es-VE"/>
        </w:rPr>
        <w:t xml:space="preserve"> Herramienta para la Evaluación de CE (ya realizada)</w:t>
      </w:r>
    </w:p>
    <w:p w14:paraId="5EEF0165" w14:textId="2F24AE3E" w:rsidR="007271AD" w:rsidRPr="004945E1" w:rsidRDefault="00FB26D9">
      <w:pPr>
        <w:pStyle w:val="ListParagraph"/>
        <w:numPr>
          <w:ilvl w:val="0"/>
          <w:numId w:val="14"/>
        </w:numPr>
        <w:rPr>
          <w:rStyle w:val="Hyperlink"/>
          <w:b/>
          <w:color w:val="auto"/>
          <w:sz w:val="22"/>
          <w:u w:val="none"/>
          <w:lang w:val="es-VE"/>
        </w:rPr>
      </w:pPr>
      <w:r w:rsidRPr="004945E1">
        <w:rPr>
          <w:rStyle w:val="Hyperlink"/>
          <w:sz w:val="22"/>
          <w:u w:val="none"/>
          <w:lang w:val="es-VE"/>
        </w:rPr>
        <w:t xml:space="preserve">Capacitaciones para usuarios de HMIS-CE (en curso) </w:t>
      </w:r>
    </w:p>
    <w:p w14:paraId="2D3D5FE9" w14:textId="48066632" w:rsidR="007271AD" w:rsidRPr="004945E1" w:rsidRDefault="007271AD">
      <w:pPr>
        <w:rPr>
          <w:rStyle w:val="Hyperlink"/>
          <w:b/>
          <w:color w:val="auto"/>
          <w:sz w:val="22"/>
          <w:u w:val="none"/>
          <w:lang w:val="es-VE"/>
        </w:rPr>
      </w:pPr>
    </w:p>
    <w:p w14:paraId="726214C1" w14:textId="09CB1B32" w:rsidR="007271AD" w:rsidRPr="004945E1" w:rsidRDefault="00FB26D9">
      <w:pPr>
        <w:pStyle w:val="NoSpacing"/>
        <w:rPr>
          <w:rStyle w:val="Hyperlink"/>
          <w:color w:val="auto"/>
          <w:u w:val="none"/>
          <w:lang w:val="es-VE"/>
        </w:rPr>
      </w:pPr>
      <w:r w:rsidRPr="004945E1">
        <w:rPr>
          <w:lang w:val="es-VE"/>
        </w:rPr>
        <w:t xml:space="preserve">Resolución de problemas de vivienda, inscripción y servicios de resolución rápida </w:t>
      </w:r>
    </w:p>
    <w:p w14:paraId="4D35F7A5" w14:textId="5D1083C8" w:rsidR="007271AD" w:rsidRPr="004945E1" w:rsidRDefault="00FB26D9">
      <w:pPr>
        <w:pStyle w:val="NoSpacing"/>
        <w:numPr>
          <w:ilvl w:val="0"/>
          <w:numId w:val="12"/>
        </w:numPr>
        <w:rPr>
          <w:lang w:val="es-VE"/>
        </w:rPr>
      </w:pPr>
      <w:r w:rsidRPr="004945E1">
        <w:rPr>
          <w:lang w:val="es-VE"/>
        </w:rPr>
        <w:t>Capacitación de resolución de problemas de vivienda organizada por TAC</w:t>
      </w:r>
      <w:r w:rsidR="0027525E" w:rsidRPr="004945E1">
        <w:rPr>
          <w:lang w:val="es-VE"/>
        </w:rPr>
        <w:t xml:space="preserve">: </w:t>
      </w:r>
      <w:r w:rsidRPr="004945E1">
        <w:rPr>
          <w:lang w:val="es-VE"/>
        </w:rPr>
        <w:t>17 de febrero de 2022 3:00-4:30 a través de Zoom</w:t>
      </w:r>
    </w:p>
    <w:p w14:paraId="37C31CE9" w14:textId="7D1FEF8D" w:rsidR="007271AD" w:rsidRPr="004945E1" w:rsidRDefault="00DF3A91">
      <w:pPr>
        <w:pStyle w:val="NoSpacing"/>
        <w:numPr>
          <w:ilvl w:val="0"/>
          <w:numId w:val="12"/>
        </w:numPr>
        <w:rPr>
          <w:rStyle w:val="Hyperlink"/>
          <w:color w:val="auto"/>
          <w:u w:val="none"/>
          <w:lang w:val="es-VE"/>
        </w:rPr>
      </w:pPr>
      <w:hyperlink r:id="rId15" w:history="1">
        <w:r w:rsidR="00FB26D9" w:rsidRPr="004945E1">
          <w:rPr>
            <w:rStyle w:val="Hyperlink"/>
            <w:u w:val="none"/>
            <w:lang w:val="es-VE"/>
          </w:rPr>
          <w:t>Descripción general de resolución de problemas de vivienda de HUD</w:t>
        </w:r>
      </w:hyperlink>
    </w:p>
    <w:p w14:paraId="388B590B" w14:textId="3AFBE8CA" w:rsidR="007271AD" w:rsidRPr="004945E1" w:rsidRDefault="00FB26D9">
      <w:pPr>
        <w:pStyle w:val="NoSpacing"/>
        <w:numPr>
          <w:ilvl w:val="0"/>
          <w:numId w:val="12"/>
        </w:numPr>
        <w:rPr>
          <w:rStyle w:val="Hyperlink"/>
          <w:color w:val="auto"/>
          <w:u w:val="none"/>
          <w:lang w:val="es-VE"/>
        </w:rPr>
      </w:pPr>
      <w:r w:rsidRPr="004945E1">
        <w:rPr>
          <w:rStyle w:val="Hyperlink"/>
          <w:color w:val="auto"/>
          <w:u w:val="none"/>
          <w:lang w:val="es-VE"/>
        </w:rPr>
        <w:t>Capacitaciones sobre resolución de problemas de vivienda, resolución rápida y desvío en la</w:t>
      </w:r>
      <w:hyperlink r:id="rId16" w:history="1">
        <w:r w:rsidRPr="004945E1">
          <w:rPr>
            <w:rStyle w:val="Hyperlink"/>
            <w:lang w:val="es-VE"/>
          </w:rPr>
          <w:t xml:space="preserve"> Universidad SSVF </w:t>
        </w:r>
      </w:hyperlink>
      <w:r w:rsidRPr="004945E1">
        <w:rPr>
          <w:rStyle w:val="Hyperlink"/>
          <w:color w:val="auto"/>
          <w:u w:val="none"/>
          <w:lang w:val="es-VE"/>
        </w:rPr>
        <w:t xml:space="preserve">y la </w:t>
      </w:r>
      <w:hyperlink r:id="rId17" w:history="1">
        <w:r w:rsidRPr="004945E1">
          <w:rPr>
            <w:rStyle w:val="Hyperlink"/>
            <w:lang w:val="es-VE"/>
          </w:rPr>
          <w:t>Alianza Nacional para Terminar con la Falta de Vivienda.</w:t>
        </w:r>
      </w:hyperlink>
    </w:p>
    <w:p w14:paraId="15A67517" w14:textId="053E3467" w:rsidR="007271AD" w:rsidRPr="004945E1" w:rsidRDefault="007271AD">
      <w:pPr>
        <w:rPr>
          <w:sz w:val="22"/>
          <w:lang w:val="es-VE"/>
        </w:rPr>
      </w:pPr>
    </w:p>
    <w:p w14:paraId="3E6D0279" w14:textId="4FB525FC" w:rsidR="007271AD" w:rsidRPr="004945E1" w:rsidRDefault="00FB26D9">
      <w:pPr>
        <w:rPr>
          <w:sz w:val="22"/>
          <w:lang w:val="es-VE"/>
        </w:rPr>
      </w:pPr>
      <w:r w:rsidRPr="004945E1">
        <w:rPr>
          <w:sz w:val="22"/>
          <w:lang w:val="es-VE"/>
        </w:rPr>
        <w:t xml:space="preserve">Habilidades de intervención en crisis </w:t>
      </w:r>
    </w:p>
    <w:p w14:paraId="2DE6B764" w14:textId="124B48F7" w:rsidR="007271AD" w:rsidRPr="004945E1" w:rsidRDefault="00FB26D9">
      <w:pPr>
        <w:pStyle w:val="ListParagraph"/>
        <w:numPr>
          <w:ilvl w:val="0"/>
          <w:numId w:val="13"/>
        </w:numPr>
        <w:rPr>
          <w:sz w:val="22"/>
          <w:lang w:val="es-VE"/>
        </w:rPr>
      </w:pPr>
      <w:r w:rsidRPr="004945E1">
        <w:rPr>
          <w:sz w:val="22"/>
          <w:lang w:val="es-VE"/>
        </w:rPr>
        <w:t>(Se elaborará)</w:t>
      </w:r>
    </w:p>
    <w:p w14:paraId="5D786E31" w14:textId="14A68B21" w:rsidR="007271AD" w:rsidRPr="004945E1" w:rsidRDefault="007271AD">
      <w:pPr>
        <w:pStyle w:val="NoSpacing"/>
        <w:rPr>
          <w:rStyle w:val="Hyperlink"/>
          <w:lang w:val="es-VE"/>
        </w:rPr>
      </w:pPr>
    </w:p>
    <w:p w14:paraId="277A84B5" w14:textId="1A43F0E5" w:rsidR="007271AD" w:rsidRPr="004945E1" w:rsidRDefault="00FB26D9">
      <w:pPr>
        <w:pStyle w:val="NoSpacing"/>
        <w:rPr>
          <w:lang w:val="es-VE"/>
        </w:rPr>
      </w:pPr>
      <w:r w:rsidRPr="004945E1">
        <w:rPr>
          <w:rStyle w:val="Hyperlink"/>
          <w:color w:val="auto"/>
          <w:u w:val="none"/>
          <w:lang w:val="es-VE"/>
        </w:rPr>
        <w:t>Nota: Los materiales de capacitación continua y las expectativas se distribuirán y entregarán a los Socios de CE de manera continua.</w:t>
      </w:r>
    </w:p>
    <w:p w14:paraId="16A40004" w14:textId="12DA3901" w:rsidR="007271AD" w:rsidRPr="004945E1" w:rsidRDefault="007271AD">
      <w:pPr>
        <w:pStyle w:val="Heading2"/>
        <w:rPr>
          <w:lang w:val="es-VE"/>
        </w:rPr>
      </w:pPr>
    </w:p>
    <w:p w14:paraId="58C9973B" w14:textId="77777777" w:rsidR="007271AD" w:rsidRPr="004945E1" w:rsidRDefault="007271AD">
      <w:pPr>
        <w:rPr>
          <w:lang w:val="es-VE"/>
        </w:rPr>
      </w:pPr>
    </w:p>
    <w:p w14:paraId="3AB1476E" w14:textId="7C7A0AA3" w:rsidR="007271AD" w:rsidRPr="004945E1" w:rsidRDefault="00FB26D9">
      <w:pPr>
        <w:pStyle w:val="Heading2"/>
        <w:rPr>
          <w:lang w:val="es-VE"/>
        </w:rPr>
      </w:pPr>
      <w:bookmarkStart w:id="2" w:name="_Hlk94824314"/>
      <w:r w:rsidRPr="004945E1">
        <w:rPr>
          <w:lang w:val="es-VE"/>
        </w:rPr>
        <w:t xml:space="preserve">Aclaración y </w:t>
      </w:r>
      <w:r w:rsidR="00044CAC" w:rsidRPr="004945E1">
        <w:rPr>
          <w:lang w:val="es-VE"/>
        </w:rPr>
        <w:t>O</w:t>
      </w:r>
      <w:r w:rsidRPr="004945E1">
        <w:rPr>
          <w:lang w:val="es-VE"/>
        </w:rPr>
        <w:t xml:space="preserve">rientación de la Herramienta para la Evaluación de CE </w:t>
      </w:r>
    </w:p>
    <w:bookmarkEnd w:id="2"/>
    <w:p w14:paraId="308F85F3" w14:textId="77777777" w:rsidR="007271AD" w:rsidRPr="004945E1" w:rsidRDefault="007271AD">
      <w:pPr>
        <w:rPr>
          <w:lang w:val="es-VE"/>
        </w:rPr>
      </w:pPr>
    </w:p>
    <w:p w14:paraId="7301FAF3" w14:textId="5A4E1350" w:rsidR="007271AD" w:rsidRPr="004945E1" w:rsidRDefault="00FB26D9">
      <w:pPr>
        <w:pStyle w:val="NoSpacing"/>
        <w:rPr>
          <w:lang w:val="es-VE"/>
        </w:rPr>
      </w:pPr>
      <w:r w:rsidRPr="004945E1">
        <w:rPr>
          <w:lang w:val="es-VE"/>
        </w:rPr>
        <w:t>Los siguientes elementos centrales son parte integral del proceso de CE</w:t>
      </w:r>
      <w:r w:rsidRPr="004945E1">
        <w:rPr>
          <w:rStyle w:val="EndnoteReference"/>
          <w:lang w:val="es-VE"/>
        </w:rPr>
        <w:endnoteReference w:id="4"/>
      </w:r>
    </w:p>
    <w:p w14:paraId="2E052E65" w14:textId="54B3402B" w:rsidR="007271AD" w:rsidRPr="004945E1" w:rsidRDefault="00FB26D9">
      <w:pPr>
        <w:pStyle w:val="NoSpacing"/>
        <w:numPr>
          <w:ilvl w:val="0"/>
          <w:numId w:val="4"/>
        </w:numPr>
        <w:rPr>
          <w:lang w:val="es-VE"/>
        </w:rPr>
      </w:pPr>
      <w:r w:rsidRPr="004945E1">
        <w:rPr>
          <w:b/>
          <w:i/>
          <w:iCs/>
          <w:lang w:val="es-VE"/>
        </w:rPr>
        <w:t>Brindar información</w:t>
      </w:r>
      <w:r w:rsidRPr="004945E1">
        <w:rPr>
          <w:lang w:val="es-VE"/>
        </w:rPr>
        <w:t xml:space="preserve"> </w:t>
      </w:r>
      <w:r w:rsidRPr="004945E1">
        <w:rPr>
          <w:b/>
          <w:i/>
          <w:iCs/>
          <w:lang w:val="es-VE"/>
        </w:rPr>
        <w:t>y educación</w:t>
      </w:r>
      <w:r w:rsidRPr="004945E1">
        <w:rPr>
          <w:lang w:val="es-VE"/>
        </w:rPr>
        <w:t xml:space="preserve"> sobre prevención y recursos de asistencia para personas sin hogar disponibles a través de CE y otros recursos que puedan ser útiles. Esto incluye ayudar a las personas y familias a comprender el proceso de evaluación y derivación y su propósito, las limitaciones de los servicios disponibles, los requisitos de documentación y la información de contacto importante de emergencia o servicio social.</w:t>
      </w:r>
    </w:p>
    <w:p w14:paraId="17D1A4BF" w14:textId="4964380B" w:rsidR="007271AD" w:rsidRPr="004945E1" w:rsidRDefault="00FB26D9">
      <w:pPr>
        <w:pStyle w:val="NoSpacing"/>
        <w:numPr>
          <w:ilvl w:val="0"/>
          <w:numId w:val="4"/>
        </w:numPr>
        <w:rPr>
          <w:lang w:val="es-VE"/>
        </w:rPr>
      </w:pPr>
      <w:r w:rsidRPr="004945E1">
        <w:rPr>
          <w:b/>
          <w:i/>
          <w:iCs/>
          <w:lang w:val="es-VE"/>
        </w:rPr>
        <w:t>Ofrecer apoyo emocional y tranquilidad</w:t>
      </w:r>
      <w:r w:rsidRPr="004945E1">
        <w:rPr>
          <w:lang w:val="es-VE"/>
        </w:rPr>
        <w:t xml:space="preserve"> para ayudar a las personas y familias a sentirse cómodas, seguras y comprendidas. Esto incluye ayudarlos a comprender y prepararse para los próximos pasos para aumentar la claridad y la comprensión.</w:t>
      </w:r>
    </w:p>
    <w:p w14:paraId="60A9F4DF" w14:textId="43DC13B9" w:rsidR="007271AD" w:rsidRPr="004945E1" w:rsidRDefault="00FB26D9">
      <w:pPr>
        <w:pStyle w:val="NoSpacing"/>
        <w:numPr>
          <w:ilvl w:val="0"/>
          <w:numId w:val="4"/>
        </w:numPr>
        <w:rPr>
          <w:lang w:val="es-VE"/>
        </w:rPr>
      </w:pPr>
      <w:r w:rsidRPr="004945E1">
        <w:rPr>
          <w:b/>
          <w:i/>
          <w:iCs/>
          <w:lang w:val="es-VE"/>
        </w:rPr>
        <w:t>Crear un vínculo con los recursos</w:t>
      </w:r>
      <w:r w:rsidRPr="004945E1">
        <w:rPr>
          <w:lang w:val="es-VE"/>
        </w:rPr>
        <w:t xml:space="preserve"> y apoyar activamente a las personas y familias que pueden estar inseguras, renuentes o incapaces de conectarse rápidamente a los recursos por su cuenta.</w:t>
      </w:r>
    </w:p>
    <w:p w14:paraId="38797664" w14:textId="77777777" w:rsidR="007271AD" w:rsidRPr="004945E1" w:rsidRDefault="007271AD">
      <w:pPr>
        <w:rPr>
          <w:sz w:val="22"/>
          <w:lang w:val="es-VE"/>
        </w:rPr>
      </w:pPr>
    </w:p>
    <w:p w14:paraId="513555EB" w14:textId="2831B998" w:rsidR="007271AD" w:rsidRPr="004945E1" w:rsidRDefault="00FB26D9">
      <w:pPr>
        <w:pStyle w:val="paragraph"/>
        <w:spacing w:before="0" w:beforeAutospacing="0" w:after="0" w:afterAutospacing="0"/>
        <w:textAlignment w:val="baseline"/>
        <w:rPr>
          <w:lang w:val="es-VE"/>
        </w:rPr>
      </w:pPr>
      <w:r w:rsidRPr="004945E1">
        <w:rPr>
          <w:rStyle w:val="normaltextrun"/>
          <w:lang w:val="es-VE"/>
        </w:rPr>
        <w:t xml:space="preserve">Los siguientes son algunos consejos sobre las mejores prácticas de la </w:t>
      </w:r>
      <w:hyperlink r:id="rId18" w:history="1">
        <w:r w:rsidRPr="004945E1">
          <w:rPr>
            <w:rStyle w:val="Hyperlink"/>
            <w:b/>
            <w:i/>
            <w:lang w:val="es-VE"/>
          </w:rPr>
          <w:t>Guía Complementaria de la Herramienta para la Evaluación de Prevención de Personas sin Hogar de SSVF</w:t>
        </w:r>
      </w:hyperlink>
      <w:r w:rsidRPr="004945E1">
        <w:rPr>
          <w:rStyle w:val="normaltextrun"/>
          <w:lang w:val="es-VE"/>
        </w:rPr>
        <w:t xml:space="preserve"> para hacer una pausa, participar en la autorreflexión y pensar en los próximos pasos en el proceso de evaluación: </w:t>
      </w:r>
    </w:p>
    <w:p w14:paraId="2099B1FC" w14:textId="02674408" w:rsidR="007271AD" w:rsidRPr="004945E1" w:rsidRDefault="00FB26D9">
      <w:pPr>
        <w:pStyle w:val="paragraph"/>
        <w:numPr>
          <w:ilvl w:val="0"/>
          <w:numId w:val="20"/>
        </w:numPr>
        <w:spacing w:before="0" w:beforeAutospacing="0" w:after="0" w:afterAutospacing="0"/>
        <w:textAlignment w:val="baseline"/>
        <w:rPr>
          <w:lang w:val="es-VE"/>
        </w:rPr>
      </w:pPr>
      <w:r w:rsidRPr="004945E1">
        <w:rPr>
          <w:rStyle w:val="normaltextrun"/>
          <w:b/>
          <w:lang w:val="es-VE"/>
        </w:rPr>
        <w:lastRenderedPageBreak/>
        <w:t xml:space="preserve">Tenga en cuenta: </w:t>
      </w:r>
      <w:r w:rsidRPr="004945E1">
        <w:rPr>
          <w:rStyle w:val="normaltextrun"/>
          <w:lang w:val="es-VE"/>
        </w:rPr>
        <w:t xml:space="preserve">el sesgo inconsciente y el racismo implícito han resultado en disparidades dentro de nuestros sistemas e instituciones. Pregúntese constantemente: ¿Estaría reaccionando (pensando, sintiendo) de la misma manera sin importar quién sea la persona o cuál sea la situación? ¿Cómo han contribuido las desigualdades actuales e históricas a la situación, las necesidades y las preferencias de esta persona? </w:t>
      </w:r>
    </w:p>
    <w:p w14:paraId="434DE1D8" w14:textId="6C57C25D" w:rsidR="007271AD" w:rsidRPr="004945E1" w:rsidRDefault="00FB26D9">
      <w:pPr>
        <w:pStyle w:val="paragraph"/>
        <w:numPr>
          <w:ilvl w:val="0"/>
          <w:numId w:val="20"/>
        </w:numPr>
        <w:spacing w:before="0" w:beforeAutospacing="0" w:after="0" w:afterAutospacing="0"/>
        <w:textAlignment w:val="baseline"/>
        <w:rPr>
          <w:lang w:val="es-VE"/>
        </w:rPr>
      </w:pPr>
      <w:r w:rsidRPr="004945E1">
        <w:rPr>
          <w:rStyle w:val="normaltextrun"/>
          <w:b/>
          <w:lang w:val="es-VE"/>
        </w:rPr>
        <w:t xml:space="preserve">Verifique las </w:t>
      </w:r>
      <w:r w:rsidR="00367757" w:rsidRPr="004945E1">
        <w:rPr>
          <w:rStyle w:val="normaltextrun"/>
          <w:b/>
          <w:lang w:val="es-VE"/>
        </w:rPr>
        <w:t>s</w:t>
      </w:r>
      <w:r w:rsidRPr="004945E1">
        <w:rPr>
          <w:rStyle w:val="normaltextrun"/>
          <w:b/>
          <w:lang w:val="es-VE"/>
        </w:rPr>
        <w:t>uposiciones:</w:t>
      </w:r>
      <w:r w:rsidRPr="004945E1">
        <w:rPr>
          <w:rStyle w:val="normaltextrun"/>
          <w:lang w:val="es-VE"/>
        </w:rPr>
        <w:t xml:space="preserve"> </w:t>
      </w:r>
      <w:r w:rsidR="00367757" w:rsidRPr="004945E1">
        <w:rPr>
          <w:rStyle w:val="normaltextrun"/>
          <w:lang w:val="es-VE"/>
        </w:rPr>
        <w:t>n</w:t>
      </w:r>
      <w:r w:rsidRPr="004945E1">
        <w:rPr>
          <w:rStyle w:val="normaltextrun"/>
          <w:lang w:val="es-VE"/>
        </w:rPr>
        <w:t xml:space="preserve">o asuma el género, la sexualidad, la etnia u otras identidades de la persona. </w:t>
      </w:r>
    </w:p>
    <w:p w14:paraId="18BD564F" w14:textId="5C7C20F3" w:rsidR="007271AD" w:rsidRPr="004945E1" w:rsidRDefault="00FB26D9">
      <w:pPr>
        <w:pStyle w:val="paragraph"/>
        <w:numPr>
          <w:ilvl w:val="0"/>
          <w:numId w:val="20"/>
        </w:numPr>
        <w:spacing w:before="0" w:beforeAutospacing="0" w:after="0" w:afterAutospacing="0"/>
        <w:textAlignment w:val="baseline"/>
        <w:rPr>
          <w:rStyle w:val="eop"/>
          <w:lang w:val="es-VE"/>
        </w:rPr>
      </w:pPr>
      <w:r w:rsidRPr="004945E1">
        <w:rPr>
          <w:rStyle w:val="eop"/>
          <w:b/>
          <w:lang w:val="es-VE"/>
        </w:rPr>
        <w:t xml:space="preserve">Escuche con empatía: </w:t>
      </w:r>
      <w:r w:rsidR="00C46222" w:rsidRPr="004945E1">
        <w:rPr>
          <w:rStyle w:val="eop"/>
          <w:lang w:val="es-VE"/>
        </w:rPr>
        <w:t>a</w:t>
      </w:r>
      <w:r w:rsidRPr="004945E1">
        <w:rPr>
          <w:rStyle w:val="eop"/>
          <w:lang w:val="es-VE"/>
        </w:rPr>
        <w:t xml:space="preserve">ntes de pedirle a una persona que revele más o un detalle específico, pregúntese: ¿Tengo curiosidad o estoy preocupado? ¿Conocer esta información es fundamental para el proceso de evaluación? Reconozca que compartir información y detalles personales a veces resulta en una carga emocional. Aclare los detalles solo para respaldar el proceso o ayudar a determinar dónde derivar a alguien para obtener asistencia adicional. </w:t>
      </w:r>
    </w:p>
    <w:p w14:paraId="7D94FD95" w14:textId="0AFEB306" w:rsidR="007271AD" w:rsidRPr="004945E1" w:rsidRDefault="00FB26D9">
      <w:pPr>
        <w:pStyle w:val="paragraph"/>
        <w:numPr>
          <w:ilvl w:val="0"/>
          <w:numId w:val="20"/>
        </w:numPr>
        <w:spacing w:before="0" w:beforeAutospacing="0" w:after="0" w:afterAutospacing="0"/>
        <w:textAlignment w:val="baseline"/>
        <w:rPr>
          <w:rStyle w:val="eop"/>
          <w:lang w:val="es-VE"/>
        </w:rPr>
      </w:pPr>
      <w:r w:rsidRPr="004945E1">
        <w:rPr>
          <w:rStyle w:val="eop"/>
          <w:b/>
          <w:lang w:val="es-VE"/>
        </w:rPr>
        <w:t xml:space="preserve">Busque empoderar: </w:t>
      </w:r>
      <w:r w:rsidR="00367757" w:rsidRPr="004945E1">
        <w:rPr>
          <w:rStyle w:val="eop"/>
          <w:lang w:val="es-VE"/>
        </w:rPr>
        <w:t>l</w:t>
      </w:r>
      <w:r w:rsidRPr="004945E1">
        <w:rPr>
          <w:rStyle w:val="eop"/>
          <w:lang w:val="es-VE"/>
        </w:rPr>
        <w:t>os socios de CE son responsables de garantizar que la elección personal y la autodeterminación ayuden a impulsar la intervención de vivienda. Los Socios de CE deben apoyar a la persona en sus metas, en lugar de las metas impuestas por el programa.</w:t>
      </w:r>
    </w:p>
    <w:p w14:paraId="1A474918" w14:textId="2F60C283" w:rsidR="007271AD" w:rsidRPr="004945E1" w:rsidRDefault="00FB26D9">
      <w:pPr>
        <w:pStyle w:val="paragraph"/>
        <w:numPr>
          <w:ilvl w:val="0"/>
          <w:numId w:val="20"/>
        </w:numPr>
        <w:spacing w:before="0" w:beforeAutospacing="0" w:after="0" w:afterAutospacing="0"/>
        <w:textAlignment w:val="baseline"/>
        <w:rPr>
          <w:lang w:val="es-VE"/>
        </w:rPr>
      </w:pPr>
      <w:r w:rsidRPr="004945E1">
        <w:rPr>
          <w:rStyle w:val="eop"/>
          <w:b/>
          <w:lang w:val="es-VE"/>
        </w:rPr>
        <w:t>Busque opciones creativas:</w:t>
      </w:r>
      <w:r w:rsidRPr="004945E1">
        <w:rPr>
          <w:lang w:val="es-VE"/>
        </w:rPr>
        <w:t xml:space="preserve"> </w:t>
      </w:r>
      <w:r w:rsidR="00367757" w:rsidRPr="004945E1">
        <w:rPr>
          <w:lang w:val="es-VE"/>
        </w:rPr>
        <w:t>a</w:t>
      </w:r>
      <w:r w:rsidRPr="004945E1">
        <w:rPr>
          <w:lang w:val="es-VE"/>
        </w:rPr>
        <w:t>lgunas personas pueden tener sistemas de apoyo naturales u otras opciones disponibles con las que los socios de CE pueden ayudar. Algunas de estas opciones pueden ser de naturaleza temporal, pero permiten que la persona y el Evaluador de CE o socio tengan el tiempo y el espacio para establecer opciones y un plan de vivienda a largo plazo.</w:t>
      </w:r>
    </w:p>
    <w:p w14:paraId="59A263C5" w14:textId="1D57DDE4" w:rsidR="007271AD" w:rsidRPr="004945E1" w:rsidRDefault="007271AD">
      <w:pPr>
        <w:rPr>
          <w:b/>
          <w:sz w:val="28"/>
          <w:u w:val="single"/>
          <w:lang w:val="es-VE"/>
        </w:rPr>
      </w:pPr>
    </w:p>
    <w:p w14:paraId="1447E78E" w14:textId="30282DB6" w:rsidR="007271AD" w:rsidRPr="004945E1" w:rsidRDefault="00FB26D9">
      <w:pPr>
        <w:spacing w:after="160" w:line="259" w:lineRule="auto"/>
        <w:contextualSpacing/>
        <w:rPr>
          <w:sz w:val="22"/>
          <w:lang w:val="es-VE"/>
        </w:rPr>
      </w:pPr>
      <w:r w:rsidRPr="004945E1">
        <w:rPr>
          <w:sz w:val="22"/>
          <w:lang w:val="es-VE"/>
        </w:rPr>
        <w:t xml:space="preserve">La siguiente sección detalla cada sección de la Herramienta de Evaluación de </w:t>
      </w:r>
      <w:r w:rsidR="00D76971" w:rsidRPr="004945E1">
        <w:rPr>
          <w:sz w:val="22"/>
          <w:lang w:val="es-VE"/>
        </w:rPr>
        <w:t>CE</w:t>
      </w:r>
      <w:r w:rsidRPr="004945E1">
        <w:rPr>
          <w:sz w:val="22"/>
          <w:lang w:val="es-VE"/>
        </w:rPr>
        <w:t xml:space="preserve"> y tiene como objetivo aclarar el propósito y el significado de cada sección y pregunta. La primera columna detalla la pregunta correspondiente o la información solicitada en la herramienta y la segunda columna brinda claridad relevante para los Evaluadores de CE. </w:t>
      </w:r>
    </w:p>
    <w:p w14:paraId="79903886" w14:textId="77777777" w:rsidR="007271AD" w:rsidRPr="004945E1" w:rsidRDefault="007271AD">
      <w:pPr>
        <w:spacing w:after="160" w:line="259" w:lineRule="auto"/>
        <w:contextualSpacing/>
        <w:rPr>
          <w:sz w:val="22"/>
          <w:lang w:val="es-VE"/>
        </w:rPr>
      </w:pPr>
    </w:p>
    <w:tbl>
      <w:tblPr>
        <w:tblStyle w:val="TableGrid"/>
        <w:tblW w:w="0" w:type="auto"/>
        <w:tblLook w:val="04A0" w:firstRow="1" w:lastRow="0" w:firstColumn="1" w:lastColumn="0" w:noHBand="0" w:noVBand="1"/>
      </w:tblPr>
      <w:tblGrid>
        <w:gridCol w:w="5395"/>
        <w:gridCol w:w="5395"/>
      </w:tblGrid>
      <w:tr w:rsidR="007271AD" w:rsidRPr="004945E1" w14:paraId="2605BF05" w14:textId="77777777">
        <w:trPr>
          <w:trHeight w:val="548"/>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02C464D3" w14:textId="0CA58D37" w:rsidR="007271AD" w:rsidRPr="004945E1" w:rsidRDefault="00FB26D9">
            <w:pPr>
              <w:jc w:val="center"/>
              <w:rPr>
                <w:b/>
                <w:sz w:val="28"/>
                <w:u w:val="single"/>
                <w:lang w:val="es-VE"/>
              </w:rPr>
            </w:pPr>
            <w:r w:rsidRPr="004945E1">
              <w:rPr>
                <w:b/>
                <w:sz w:val="28"/>
                <w:u w:val="single"/>
                <w:lang w:val="es-VE"/>
              </w:rPr>
              <w:t>Sección 1: Información básica</w:t>
            </w:r>
          </w:p>
          <w:p w14:paraId="46272F67" w14:textId="77777777" w:rsidR="007271AD" w:rsidRPr="004945E1" w:rsidRDefault="007271AD">
            <w:pPr>
              <w:jc w:val="center"/>
              <w:rPr>
                <w:b/>
                <w:sz w:val="28"/>
                <w:u w:val="single"/>
                <w:lang w:val="es-VE"/>
              </w:rPr>
            </w:pPr>
          </w:p>
          <w:p w14:paraId="2B729926" w14:textId="3E9DABAD" w:rsidR="007271AD" w:rsidRPr="004945E1" w:rsidRDefault="00FB26D9">
            <w:pPr>
              <w:jc w:val="center"/>
              <w:rPr>
                <w:sz w:val="20"/>
                <w:lang w:val="es-VE"/>
              </w:rPr>
            </w:pPr>
            <w:r w:rsidRPr="004945E1">
              <w:rPr>
                <w:sz w:val="20"/>
                <w:lang w:val="es-VE"/>
              </w:rPr>
              <w:t>El propósito de esta sección es recopilar información para crear un perfil de cliente en</w:t>
            </w:r>
            <w:r w:rsidR="00D76971" w:rsidRPr="004945E1">
              <w:rPr>
                <w:sz w:val="20"/>
                <w:lang w:val="es-VE"/>
              </w:rPr>
              <w:t xml:space="preserve"> el</w:t>
            </w:r>
            <w:r w:rsidRPr="004945E1">
              <w:rPr>
                <w:sz w:val="20"/>
                <w:lang w:val="es-VE"/>
              </w:rPr>
              <w:t xml:space="preserve"> HMIS y recopilar información que pueda afectar las opciones de vivienda y la priorización de los recursos de vivienda.</w:t>
            </w:r>
          </w:p>
          <w:p w14:paraId="3B14BF90" w14:textId="1CC0BB14" w:rsidR="007271AD" w:rsidRPr="004945E1" w:rsidRDefault="007271AD">
            <w:pPr>
              <w:jc w:val="center"/>
              <w:rPr>
                <w:sz w:val="20"/>
                <w:lang w:val="es-VE"/>
              </w:rPr>
            </w:pPr>
          </w:p>
        </w:tc>
      </w:tr>
      <w:tr w:rsidR="007271AD" w:rsidRPr="004945E1" w14:paraId="752DFAC0" w14:textId="77777777">
        <w:tc>
          <w:tcPr>
            <w:tcW w:w="5395" w:type="dxa"/>
            <w:tcBorders>
              <w:top w:val="single" w:sz="4" w:space="0" w:color="auto"/>
              <w:left w:val="single" w:sz="4" w:space="0" w:color="auto"/>
              <w:bottom w:val="single" w:sz="4" w:space="0" w:color="auto"/>
              <w:right w:val="single" w:sz="4" w:space="0" w:color="auto"/>
            </w:tcBorders>
            <w:shd w:val="clear" w:color="auto" w:fill="auto"/>
            <w:hideMark/>
          </w:tcPr>
          <w:p w14:paraId="38B1F84B" w14:textId="5ED86DA9" w:rsidR="007271AD" w:rsidRPr="004945E1" w:rsidRDefault="00FB26D9">
            <w:pPr>
              <w:spacing w:after="160" w:line="256" w:lineRule="auto"/>
              <w:jc w:val="center"/>
              <w:rPr>
                <w:b/>
                <w:sz w:val="22"/>
                <w:lang w:val="es-VE"/>
              </w:rPr>
            </w:pPr>
            <w:r w:rsidRPr="004945E1">
              <w:rPr>
                <w:b/>
                <w:sz w:val="22"/>
                <w:lang w:val="es-VE"/>
              </w:rPr>
              <w:t>Preguntas de la Herramienta para la Evaluación</w:t>
            </w:r>
          </w:p>
        </w:tc>
        <w:tc>
          <w:tcPr>
            <w:tcW w:w="5395" w:type="dxa"/>
            <w:tcBorders>
              <w:top w:val="single" w:sz="4" w:space="0" w:color="auto"/>
              <w:left w:val="single" w:sz="4" w:space="0" w:color="auto"/>
              <w:bottom w:val="single" w:sz="4" w:space="0" w:color="auto"/>
              <w:right w:val="single" w:sz="4" w:space="0" w:color="auto"/>
            </w:tcBorders>
            <w:shd w:val="clear" w:color="auto" w:fill="auto"/>
            <w:hideMark/>
          </w:tcPr>
          <w:p w14:paraId="1E8F293E" w14:textId="374BA6E5" w:rsidR="007271AD" w:rsidRPr="004945E1" w:rsidRDefault="00FB26D9">
            <w:pPr>
              <w:spacing w:after="160" w:line="256" w:lineRule="auto"/>
              <w:jc w:val="center"/>
              <w:rPr>
                <w:b/>
                <w:sz w:val="22"/>
                <w:lang w:val="es-VE"/>
              </w:rPr>
            </w:pPr>
            <w:r w:rsidRPr="004945E1">
              <w:rPr>
                <w:b/>
                <w:sz w:val="22"/>
                <w:lang w:val="es-VE"/>
              </w:rPr>
              <w:t>Aclaración y ejemplos</w:t>
            </w:r>
          </w:p>
        </w:tc>
      </w:tr>
      <w:tr w:rsidR="007271AD" w:rsidRPr="004945E1" w14:paraId="475D4BC8" w14:textId="77777777">
        <w:tc>
          <w:tcPr>
            <w:tcW w:w="5395" w:type="dxa"/>
            <w:tcBorders>
              <w:top w:val="single" w:sz="4" w:space="0" w:color="auto"/>
              <w:left w:val="single" w:sz="4" w:space="0" w:color="auto"/>
              <w:bottom w:val="single" w:sz="4" w:space="0" w:color="auto"/>
              <w:right w:val="single" w:sz="4" w:space="0" w:color="auto"/>
            </w:tcBorders>
            <w:shd w:val="clear" w:color="auto" w:fill="auto"/>
          </w:tcPr>
          <w:p w14:paraId="7FF97FAC" w14:textId="6EF1D698" w:rsidR="007271AD" w:rsidRPr="004945E1" w:rsidRDefault="00FB26D9">
            <w:pPr>
              <w:spacing w:after="160" w:line="256" w:lineRule="auto"/>
              <w:rPr>
                <w:sz w:val="22"/>
                <w:lang w:val="es-VE"/>
              </w:rPr>
            </w:pPr>
            <w:r w:rsidRPr="004945E1">
              <w:rPr>
                <w:rFonts w:cstheme="minorHAnsi"/>
                <w:sz w:val="22"/>
                <w:lang w:val="es-VE"/>
              </w:rPr>
              <w:t xml:space="preserve">Fecha de la evaluación </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44939B6E" w14:textId="18D9C30F" w:rsidR="007271AD" w:rsidRPr="004945E1" w:rsidRDefault="00FB26D9">
            <w:pPr>
              <w:spacing w:after="160" w:line="256" w:lineRule="auto"/>
              <w:rPr>
                <w:i/>
                <w:sz w:val="22"/>
                <w:lang w:val="es-VE"/>
              </w:rPr>
            </w:pPr>
            <w:r w:rsidRPr="004945E1">
              <w:rPr>
                <w:i/>
                <w:sz w:val="22"/>
                <w:lang w:val="es-VE"/>
              </w:rPr>
              <w:t xml:space="preserve">Fecha en que se </w:t>
            </w:r>
            <w:r w:rsidR="006004D7" w:rsidRPr="004945E1">
              <w:rPr>
                <w:i/>
                <w:sz w:val="22"/>
                <w:lang w:val="es-VE"/>
              </w:rPr>
              <w:t>hace</w:t>
            </w:r>
            <w:r w:rsidRPr="004945E1">
              <w:rPr>
                <w:i/>
                <w:sz w:val="22"/>
                <w:lang w:val="es-VE"/>
              </w:rPr>
              <w:t xml:space="preserve"> la evaluación. </w:t>
            </w:r>
          </w:p>
          <w:p w14:paraId="6DBEAF70" w14:textId="27A3C97D" w:rsidR="007271AD" w:rsidRPr="004945E1" w:rsidRDefault="007271AD">
            <w:pPr>
              <w:spacing w:after="160" w:line="256" w:lineRule="auto"/>
              <w:rPr>
                <w:i/>
                <w:sz w:val="22"/>
                <w:lang w:val="es-VE"/>
              </w:rPr>
            </w:pPr>
          </w:p>
        </w:tc>
      </w:tr>
      <w:tr w:rsidR="007271AD" w:rsidRPr="004945E1" w14:paraId="1F93576B" w14:textId="77777777">
        <w:tc>
          <w:tcPr>
            <w:tcW w:w="5395" w:type="dxa"/>
            <w:tcBorders>
              <w:top w:val="single" w:sz="4" w:space="0" w:color="auto"/>
              <w:left w:val="single" w:sz="4" w:space="0" w:color="auto"/>
              <w:bottom w:val="single" w:sz="4" w:space="0" w:color="auto"/>
              <w:right w:val="single" w:sz="4" w:space="0" w:color="auto"/>
            </w:tcBorders>
            <w:shd w:val="clear" w:color="auto" w:fill="auto"/>
          </w:tcPr>
          <w:p w14:paraId="30F02F81" w14:textId="11E4DAF5" w:rsidR="007271AD" w:rsidRPr="004945E1" w:rsidRDefault="00FB26D9">
            <w:pPr>
              <w:spacing w:after="160" w:line="256" w:lineRule="auto"/>
              <w:rPr>
                <w:sz w:val="22"/>
                <w:lang w:val="es-VE"/>
              </w:rPr>
            </w:pPr>
            <w:r w:rsidRPr="004945E1">
              <w:rPr>
                <w:sz w:val="22"/>
                <w:lang w:val="es-VE"/>
              </w:rPr>
              <w:t>Agencia evaluadora, nombre del evaluador y contacto del evaluador</w:t>
            </w:r>
          </w:p>
          <w:p w14:paraId="6FC9D8A4" w14:textId="77777777" w:rsidR="007271AD" w:rsidRPr="004945E1" w:rsidRDefault="007271AD">
            <w:pPr>
              <w:spacing w:after="160" w:line="256" w:lineRule="auto"/>
              <w:rPr>
                <w:b/>
                <w:sz w:val="22"/>
                <w:lang w:val="es-VE"/>
              </w:rPr>
            </w:pP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7A4AB875" w14:textId="75D81AEE" w:rsidR="007271AD" w:rsidRPr="004945E1" w:rsidRDefault="00FB26D9">
            <w:pPr>
              <w:spacing w:after="160" w:line="256" w:lineRule="auto"/>
              <w:rPr>
                <w:sz w:val="22"/>
                <w:lang w:val="es-VE"/>
              </w:rPr>
            </w:pPr>
            <w:r w:rsidRPr="004945E1">
              <w:rPr>
                <w:sz w:val="22"/>
                <w:lang w:val="es-VE"/>
              </w:rPr>
              <w:t xml:space="preserve">El nombre de la persona que realiza la evaluación y el nombre de la agencia/organización a la que representa. El contacto debe ser un correo electrónico, un número de teléfono o, preferiblemente, ambos </w:t>
            </w:r>
          </w:p>
        </w:tc>
      </w:tr>
      <w:tr w:rsidR="007271AD" w:rsidRPr="004945E1" w14:paraId="3C1D3210" w14:textId="77777777">
        <w:tc>
          <w:tcPr>
            <w:tcW w:w="5395" w:type="dxa"/>
            <w:tcBorders>
              <w:top w:val="single" w:sz="4" w:space="0" w:color="auto"/>
              <w:left w:val="single" w:sz="4" w:space="0" w:color="auto"/>
              <w:bottom w:val="single" w:sz="4" w:space="0" w:color="auto"/>
              <w:right w:val="single" w:sz="4" w:space="0" w:color="auto"/>
            </w:tcBorders>
            <w:shd w:val="clear" w:color="auto" w:fill="auto"/>
          </w:tcPr>
          <w:p w14:paraId="6A18D3A7" w14:textId="0AA1F3A5" w:rsidR="007271AD" w:rsidRPr="004945E1" w:rsidRDefault="00FB26D9">
            <w:pPr>
              <w:rPr>
                <w:sz w:val="22"/>
                <w:lang w:val="es-VE"/>
              </w:rPr>
            </w:pPr>
            <w:r w:rsidRPr="004945E1">
              <w:rPr>
                <w:sz w:val="22"/>
                <w:lang w:val="es-VE"/>
              </w:rPr>
              <w:t>Recomendado por (si es diferente del evaluador)</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701DA3AE" w14:textId="15F7F40F" w:rsidR="007271AD" w:rsidRPr="004945E1" w:rsidRDefault="00FB26D9">
            <w:pPr>
              <w:spacing w:after="160" w:line="256" w:lineRule="auto"/>
              <w:rPr>
                <w:iCs/>
                <w:sz w:val="22"/>
                <w:lang w:val="es-VE"/>
              </w:rPr>
            </w:pPr>
            <w:r w:rsidRPr="004945E1">
              <w:rPr>
                <w:iCs/>
                <w:sz w:val="22"/>
                <w:lang w:val="es-VE"/>
              </w:rPr>
              <w:t xml:space="preserve">Si corresponde, el nombre de la persona que remitió al individuo o familia a la agencia evaluadora. </w:t>
            </w:r>
          </w:p>
        </w:tc>
      </w:tr>
      <w:tr w:rsidR="007271AD" w:rsidRPr="004945E1" w14:paraId="50499EA4" w14:textId="77777777">
        <w:tc>
          <w:tcPr>
            <w:tcW w:w="5395" w:type="dxa"/>
            <w:tcBorders>
              <w:top w:val="single" w:sz="4" w:space="0" w:color="auto"/>
              <w:left w:val="single" w:sz="4" w:space="0" w:color="auto"/>
              <w:bottom w:val="single" w:sz="4" w:space="0" w:color="auto"/>
              <w:right w:val="single" w:sz="4" w:space="0" w:color="auto"/>
            </w:tcBorders>
            <w:shd w:val="clear" w:color="auto" w:fill="auto"/>
          </w:tcPr>
          <w:p w14:paraId="5EEB818D" w14:textId="4633C09C" w:rsidR="007271AD" w:rsidRPr="004945E1" w:rsidRDefault="00FB26D9">
            <w:pPr>
              <w:spacing w:after="160" w:line="256" w:lineRule="auto"/>
              <w:rPr>
                <w:sz w:val="22"/>
                <w:lang w:val="es-VE"/>
              </w:rPr>
            </w:pPr>
            <w:r w:rsidRPr="004945E1">
              <w:rPr>
                <w:sz w:val="22"/>
                <w:lang w:val="es-VE"/>
              </w:rPr>
              <w:t>Nombre o identificación del cliente y contacto del cliente</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0BE6F0CC" w14:textId="7282A562" w:rsidR="007271AD" w:rsidRPr="004945E1" w:rsidRDefault="00FB26D9">
            <w:pPr>
              <w:spacing w:after="160" w:line="256" w:lineRule="auto"/>
              <w:rPr>
                <w:sz w:val="22"/>
                <w:lang w:val="es-VE"/>
              </w:rPr>
            </w:pPr>
            <w:r w:rsidRPr="004945E1">
              <w:rPr>
                <w:sz w:val="22"/>
                <w:lang w:val="es-VE"/>
              </w:rPr>
              <w:t xml:space="preserve">Nombre o identificación del cliente: </w:t>
            </w:r>
            <w:r w:rsidR="00CB6DCC" w:rsidRPr="004945E1">
              <w:rPr>
                <w:sz w:val="22"/>
                <w:lang w:val="es-VE"/>
              </w:rPr>
              <w:t>s</w:t>
            </w:r>
            <w:r w:rsidRPr="004945E1">
              <w:rPr>
                <w:sz w:val="22"/>
                <w:lang w:val="es-VE"/>
              </w:rPr>
              <w:t xml:space="preserve">i da su consentimiento, nombre completo de la persona evaluada. Si la persona está siendo referida desde un programa de Violencia Doméstica y/o hay problemas de seguridad, no escriba el nombre completo y, en su lugar, coloque la identificación o el marcador que está siguiendo. Por ejemplo, una organización de Violencia Doméstica podría codificar a alguien usando las iniciales </w:t>
            </w:r>
            <w:r w:rsidRPr="004945E1">
              <w:rPr>
                <w:sz w:val="22"/>
                <w:lang w:val="es-VE"/>
              </w:rPr>
              <w:lastRenderedPageBreak/>
              <w:t>de la agencia y un número que solo la agencia conozca (por ejemplo, SP#45 o EFC#76)</w:t>
            </w:r>
          </w:p>
          <w:p w14:paraId="2C90F667" w14:textId="546FD226" w:rsidR="007271AD" w:rsidRPr="004945E1" w:rsidRDefault="00FB26D9">
            <w:pPr>
              <w:spacing w:after="160" w:line="256" w:lineRule="auto"/>
              <w:rPr>
                <w:sz w:val="22"/>
                <w:lang w:val="es-VE"/>
              </w:rPr>
            </w:pPr>
            <w:r w:rsidRPr="004945E1">
              <w:rPr>
                <w:sz w:val="22"/>
                <w:lang w:val="es-VE"/>
              </w:rPr>
              <w:t xml:space="preserve">Contacto del cliente: un número de teléfono o correo electrónico si está disponible </w:t>
            </w:r>
          </w:p>
        </w:tc>
      </w:tr>
      <w:tr w:rsidR="007271AD" w:rsidRPr="004945E1" w14:paraId="43B36A2F" w14:textId="77777777">
        <w:trPr>
          <w:trHeight w:val="440"/>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0DC0AA26" w14:textId="4D13B7A0" w:rsidR="007271AD" w:rsidRPr="004945E1" w:rsidRDefault="00FB26D9">
            <w:pPr>
              <w:spacing w:after="160" w:line="256" w:lineRule="auto"/>
              <w:rPr>
                <w:sz w:val="22"/>
                <w:lang w:val="es-VE"/>
              </w:rPr>
            </w:pPr>
            <w:r w:rsidRPr="004945E1">
              <w:rPr>
                <w:sz w:val="22"/>
                <w:lang w:val="es-VE"/>
              </w:rPr>
              <w:lastRenderedPageBreak/>
              <w:t>Fecha de nacimiento</w:t>
            </w:r>
          </w:p>
        </w:tc>
        <w:tc>
          <w:tcPr>
            <w:tcW w:w="5395" w:type="dxa"/>
            <w:tcBorders>
              <w:top w:val="single" w:sz="4" w:space="0" w:color="auto"/>
              <w:left w:val="single" w:sz="4" w:space="0" w:color="auto"/>
              <w:right w:val="single" w:sz="4" w:space="0" w:color="auto"/>
            </w:tcBorders>
            <w:shd w:val="clear" w:color="auto" w:fill="auto"/>
          </w:tcPr>
          <w:p w14:paraId="258D95AA" w14:textId="779E2784" w:rsidR="007271AD" w:rsidRPr="004945E1" w:rsidRDefault="00FB26D9">
            <w:pPr>
              <w:spacing w:after="160" w:line="256" w:lineRule="auto"/>
              <w:rPr>
                <w:i/>
                <w:sz w:val="22"/>
                <w:lang w:val="es-VE"/>
              </w:rPr>
            </w:pPr>
            <w:r w:rsidRPr="004945E1">
              <w:rPr>
                <w:i/>
                <w:sz w:val="22"/>
                <w:lang w:val="es-VE"/>
              </w:rPr>
              <w:t xml:space="preserve">La fecha de nacimiento del jefe de hogar: </w:t>
            </w:r>
            <w:r w:rsidR="00B01A7F" w:rsidRPr="004945E1">
              <w:rPr>
                <w:i/>
                <w:sz w:val="22"/>
                <w:lang w:val="es-VE"/>
              </w:rPr>
              <w:t>m</w:t>
            </w:r>
            <w:r w:rsidRPr="004945E1">
              <w:rPr>
                <w:i/>
                <w:sz w:val="22"/>
                <w:lang w:val="es-VE"/>
              </w:rPr>
              <w:t>es, día, año.</w:t>
            </w:r>
          </w:p>
        </w:tc>
      </w:tr>
      <w:tr w:rsidR="007271AD" w:rsidRPr="004945E1" w14:paraId="1397C7E3" w14:textId="77777777">
        <w:trPr>
          <w:trHeight w:val="1250"/>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03DFAA38" w14:textId="69BCDB1C" w:rsidR="007271AD" w:rsidRPr="004945E1" w:rsidRDefault="00FB26D9">
            <w:pPr>
              <w:spacing w:after="160" w:line="256" w:lineRule="auto"/>
              <w:rPr>
                <w:sz w:val="22"/>
                <w:lang w:val="es-VE"/>
              </w:rPr>
            </w:pPr>
            <w:r w:rsidRPr="004945E1">
              <w:rPr>
                <w:sz w:val="22"/>
                <w:lang w:val="es-VE"/>
              </w:rPr>
              <w:t>Raza</w:t>
            </w:r>
          </w:p>
        </w:tc>
        <w:tc>
          <w:tcPr>
            <w:tcW w:w="5395" w:type="dxa"/>
            <w:tcBorders>
              <w:left w:val="single" w:sz="4" w:space="0" w:color="auto"/>
              <w:right w:val="single" w:sz="4" w:space="0" w:color="auto"/>
            </w:tcBorders>
            <w:shd w:val="clear" w:color="auto" w:fill="auto"/>
          </w:tcPr>
          <w:p w14:paraId="073D9D4E" w14:textId="0AD0F26C" w:rsidR="007271AD" w:rsidRPr="004945E1" w:rsidRDefault="00FB26D9">
            <w:pPr>
              <w:spacing w:after="160" w:line="256" w:lineRule="auto"/>
              <w:rPr>
                <w:i/>
                <w:sz w:val="22"/>
                <w:lang w:val="es-VE"/>
              </w:rPr>
            </w:pPr>
            <w:r w:rsidRPr="004945E1">
              <w:rPr>
                <w:i/>
                <w:sz w:val="22"/>
                <w:lang w:val="es-VE"/>
              </w:rPr>
              <w:t xml:space="preserve">Debe seleccionar una o más de las siguientes opciones que están disponibles en </w:t>
            </w:r>
            <w:r w:rsidR="00BB3F87" w:rsidRPr="004945E1">
              <w:rPr>
                <w:i/>
                <w:sz w:val="22"/>
                <w:lang w:val="es-VE"/>
              </w:rPr>
              <w:t xml:space="preserve">el </w:t>
            </w:r>
            <w:r w:rsidRPr="004945E1">
              <w:rPr>
                <w:i/>
                <w:sz w:val="22"/>
                <w:lang w:val="es-VE"/>
              </w:rPr>
              <w:t xml:space="preserve">HMIS: </w:t>
            </w:r>
          </w:p>
          <w:p w14:paraId="133F8D9D" w14:textId="77777777" w:rsidR="007271AD" w:rsidRPr="004945E1" w:rsidRDefault="00FB26D9">
            <w:pPr>
              <w:spacing w:after="160"/>
              <w:contextualSpacing/>
              <w:rPr>
                <w:i/>
                <w:sz w:val="22"/>
                <w:lang w:val="es-VE"/>
              </w:rPr>
            </w:pPr>
            <w:r w:rsidRPr="004945E1">
              <w:rPr>
                <w:i/>
                <w:sz w:val="22"/>
                <w:lang w:val="es-VE"/>
              </w:rPr>
              <w:t>Indígena americano, nativo de Alaska o indígena</w:t>
            </w:r>
          </w:p>
          <w:p w14:paraId="19F4D303" w14:textId="77777777" w:rsidR="007271AD" w:rsidRPr="004945E1" w:rsidRDefault="00FB26D9">
            <w:pPr>
              <w:spacing w:after="160"/>
              <w:contextualSpacing/>
              <w:rPr>
                <w:i/>
                <w:sz w:val="22"/>
                <w:lang w:val="es-VE"/>
              </w:rPr>
            </w:pPr>
            <w:r w:rsidRPr="004945E1">
              <w:rPr>
                <w:i/>
                <w:sz w:val="22"/>
                <w:lang w:val="es-VE"/>
              </w:rPr>
              <w:t>Asiático o asiático-americano</w:t>
            </w:r>
          </w:p>
          <w:p w14:paraId="08819D35" w14:textId="77777777" w:rsidR="007271AD" w:rsidRPr="004945E1" w:rsidRDefault="00FB26D9">
            <w:pPr>
              <w:spacing w:after="160"/>
              <w:contextualSpacing/>
              <w:rPr>
                <w:i/>
                <w:sz w:val="22"/>
                <w:lang w:val="es-VE"/>
              </w:rPr>
            </w:pPr>
            <w:r w:rsidRPr="004945E1">
              <w:rPr>
                <w:i/>
                <w:sz w:val="22"/>
                <w:lang w:val="es-VE"/>
              </w:rPr>
              <w:t>Afroamericano o africano</w:t>
            </w:r>
          </w:p>
          <w:p w14:paraId="2664A251" w14:textId="77777777" w:rsidR="007271AD" w:rsidRPr="004945E1" w:rsidRDefault="00FB26D9">
            <w:pPr>
              <w:spacing w:after="160"/>
              <w:contextualSpacing/>
              <w:rPr>
                <w:i/>
                <w:sz w:val="22"/>
                <w:lang w:val="es-VE"/>
              </w:rPr>
            </w:pPr>
            <w:r w:rsidRPr="004945E1">
              <w:rPr>
                <w:i/>
                <w:sz w:val="22"/>
                <w:lang w:val="es-VE"/>
              </w:rPr>
              <w:t xml:space="preserve">Nativo de Hawái o de las islas del pacífico </w:t>
            </w:r>
          </w:p>
          <w:p w14:paraId="3511B7AB" w14:textId="77777777" w:rsidR="007271AD" w:rsidRPr="004945E1" w:rsidRDefault="00FB26D9">
            <w:pPr>
              <w:spacing w:after="160"/>
              <w:contextualSpacing/>
              <w:rPr>
                <w:i/>
                <w:sz w:val="22"/>
                <w:lang w:val="es-VE"/>
              </w:rPr>
            </w:pPr>
            <w:r w:rsidRPr="004945E1">
              <w:rPr>
                <w:i/>
                <w:sz w:val="22"/>
                <w:lang w:val="es-VE"/>
              </w:rPr>
              <w:t>Blanco</w:t>
            </w:r>
          </w:p>
          <w:p w14:paraId="42620AA2" w14:textId="77777777" w:rsidR="007271AD" w:rsidRPr="004945E1" w:rsidRDefault="00FB26D9">
            <w:pPr>
              <w:spacing w:after="160"/>
              <w:contextualSpacing/>
              <w:rPr>
                <w:i/>
                <w:sz w:val="22"/>
                <w:lang w:val="es-VE"/>
              </w:rPr>
            </w:pPr>
            <w:r w:rsidRPr="004945E1">
              <w:rPr>
                <w:i/>
                <w:sz w:val="22"/>
                <w:lang w:val="es-VE"/>
              </w:rPr>
              <w:t xml:space="preserve">El cliente no sabe </w:t>
            </w:r>
          </w:p>
          <w:p w14:paraId="1D75E393" w14:textId="77777777" w:rsidR="007271AD" w:rsidRPr="004945E1" w:rsidRDefault="00FB26D9">
            <w:pPr>
              <w:spacing w:after="160"/>
              <w:contextualSpacing/>
              <w:rPr>
                <w:i/>
                <w:sz w:val="22"/>
                <w:lang w:val="es-VE"/>
              </w:rPr>
            </w:pPr>
            <w:r w:rsidRPr="004945E1">
              <w:rPr>
                <w:i/>
                <w:sz w:val="22"/>
                <w:lang w:val="es-VE"/>
              </w:rPr>
              <w:t>El cliente se rehusó</w:t>
            </w:r>
          </w:p>
          <w:p w14:paraId="3691D4A6" w14:textId="72E931A1" w:rsidR="007271AD" w:rsidRPr="004945E1" w:rsidRDefault="00FB26D9">
            <w:pPr>
              <w:spacing w:after="160"/>
              <w:contextualSpacing/>
              <w:rPr>
                <w:i/>
                <w:sz w:val="22"/>
                <w:lang w:val="es-VE"/>
              </w:rPr>
            </w:pPr>
            <w:r w:rsidRPr="004945E1">
              <w:rPr>
                <w:i/>
                <w:sz w:val="22"/>
                <w:lang w:val="es-VE"/>
              </w:rPr>
              <w:t>No se obtuvo información</w:t>
            </w:r>
          </w:p>
        </w:tc>
      </w:tr>
      <w:tr w:rsidR="007271AD" w:rsidRPr="004945E1" w14:paraId="73033D4F" w14:textId="77777777">
        <w:trPr>
          <w:trHeight w:val="1250"/>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150A1621" w14:textId="11001850" w:rsidR="007271AD" w:rsidRPr="004945E1" w:rsidRDefault="00FB26D9">
            <w:pPr>
              <w:spacing w:after="160" w:line="256" w:lineRule="auto"/>
              <w:rPr>
                <w:sz w:val="22"/>
                <w:lang w:val="es-VE"/>
              </w:rPr>
            </w:pPr>
            <w:r w:rsidRPr="004945E1">
              <w:rPr>
                <w:sz w:val="22"/>
                <w:lang w:val="es-VE"/>
              </w:rPr>
              <w:t>Etnia</w:t>
            </w:r>
          </w:p>
        </w:tc>
        <w:tc>
          <w:tcPr>
            <w:tcW w:w="5395" w:type="dxa"/>
            <w:tcBorders>
              <w:left w:val="single" w:sz="4" w:space="0" w:color="auto"/>
              <w:right w:val="single" w:sz="4" w:space="0" w:color="auto"/>
            </w:tcBorders>
            <w:shd w:val="clear" w:color="auto" w:fill="auto"/>
          </w:tcPr>
          <w:p w14:paraId="224635E1" w14:textId="3E8F0D45" w:rsidR="007271AD" w:rsidRPr="004945E1" w:rsidRDefault="00FB26D9">
            <w:pPr>
              <w:spacing w:after="160" w:line="256" w:lineRule="auto"/>
              <w:rPr>
                <w:i/>
                <w:sz w:val="22"/>
                <w:lang w:val="es-VE"/>
              </w:rPr>
            </w:pPr>
            <w:r w:rsidRPr="004945E1">
              <w:rPr>
                <w:i/>
                <w:sz w:val="22"/>
                <w:lang w:val="es-VE"/>
              </w:rPr>
              <w:t xml:space="preserve">Debe seleccionar una de las siguientes opciones que están disponibles en </w:t>
            </w:r>
            <w:r w:rsidR="00BB3F87" w:rsidRPr="004945E1">
              <w:rPr>
                <w:i/>
                <w:sz w:val="22"/>
                <w:lang w:val="es-VE"/>
              </w:rPr>
              <w:t xml:space="preserve">el </w:t>
            </w:r>
            <w:r w:rsidRPr="004945E1">
              <w:rPr>
                <w:i/>
                <w:sz w:val="22"/>
                <w:lang w:val="es-VE"/>
              </w:rPr>
              <w:t xml:space="preserve">HMIS: </w:t>
            </w:r>
          </w:p>
          <w:p w14:paraId="4A85AD12" w14:textId="77777777" w:rsidR="007271AD" w:rsidRPr="004945E1" w:rsidRDefault="00FB26D9">
            <w:pPr>
              <w:spacing w:after="160" w:line="257" w:lineRule="auto"/>
              <w:contextualSpacing/>
              <w:rPr>
                <w:i/>
                <w:sz w:val="22"/>
                <w:lang w:val="es-VE"/>
              </w:rPr>
            </w:pPr>
            <w:r w:rsidRPr="004945E1">
              <w:rPr>
                <w:i/>
                <w:sz w:val="22"/>
                <w:lang w:val="es-VE"/>
              </w:rPr>
              <w:t>No hispano/No latino</w:t>
            </w:r>
          </w:p>
          <w:p w14:paraId="4F6DD9EA" w14:textId="77777777" w:rsidR="007271AD" w:rsidRPr="004945E1" w:rsidRDefault="00FB26D9">
            <w:pPr>
              <w:spacing w:after="160" w:line="257" w:lineRule="auto"/>
              <w:contextualSpacing/>
              <w:rPr>
                <w:i/>
                <w:sz w:val="22"/>
                <w:lang w:val="es-VE"/>
              </w:rPr>
            </w:pPr>
            <w:r w:rsidRPr="004945E1">
              <w:rPr>
                <w:i/>
                <w:sz w:val="22"/>
                <w:lang w:val="es-VE"/>
              </w:rPr>
              <w:t>Hispano/Latino</w:t>
            </w:r>
          </w:p>
          <w:p w14:paraId="7408B1E7" w14:textId="77777777" w:rsidR="007271AD" w:rsidRPr="004945E1" w:rsidRDefault="00FB26D9">
            <w:pPr>
              <w:spacing w:after="160" w:line="257" w:lineRule="auto"/>
              <w:contextualSpacing/>
              <w:rPr>
                <w:i/>
                <w:sz w:val="22"/>
                <w:lang w:val="es-VE"/>
              </w:rPr>
            </w:pPr>
            <w:r w:rsidRPr="004945E1">
              <w:rPr>
                <w:i/>
                <w:sz w:val="22"/>
                <w:lang w:val="es-VE"/>
              </w:rPr>
              <w:t>El cliente no sabe</w:t>
            </w:r>
          </w:p>
          <w:p w14:paraId="3EFFB659" w14:textId="7535BD88" w:rsidR="007271AD" w:rsidRPr="004945E1" w:rsidRDefault="00FB26D9">
            <w:pPr>
              <w:spacing w:after="160" w:line="257" w:lineRule="auto"/>
              <w:contextualSpacing/>
              <w:rPr>
                <w:i/>
                <w:sz w:val="22"/>
                <w:lang w:val="es-VE"/>
              </w:rPr>
            </w:pPr>
            <w:r w:rsidRPr="004945E1">
              <w:rPr>
                <w:i/>
                <w:sz w:val="22"/>
                <w:lang w:val="es-VE"/>
              </w:rPr>
              <w:t>El cliente se rehusó</w:t>
            </w:r>
          </w:p>
        </w:tc>
      </w:tr>
      <w:tr w:rsidR="007271AD" w:rsidRPr="004945E1" w14:paraId="5386C8D7" w14:textId="77777777">
        <w:trPr>
          <w:trHeight w:val="485"/>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15B7B7D5" w14:textId="54BDB0C9" w:rsidR="007271AD" w:rsidRPr="004945E1" w:rsidRDefault="00FB26D9">
            <w:pPr>
              <w:spacing w:after="160" w:line="256" w:lineRule="auto"/>
              <w:rPr>
                <w:sz w:val="22"/>
                <w:lang w:val="es-VE"/>
              </w:rPr>
            </w:pPr>
            <w:r w:rsidRPr="004945E1">
              <w:rPr>
                <w:sz w:val="22"/>
                <w:lang w:val="es-VE"/>
              </w:rPr>
              <w:t>Identidad de género</w:t>
            </w:r>
          </w:p>
        </w:tc>
        <w:tc>
          <w:tcPr>
            <w:tcW w:w="5395" w:type="dxa"/>
            <w:tcBorders>
              <w:left w:val="single" w:sz="4" w:space="0" w:color="auto"/>
              <w:right w:val="single" w:sz="4" w:space="0" w:color="auto"/>
            </w:tcBorders>
            <w:shd w:val="clear" w:color="auto" w:fill="auto"/>
          </w:tcPr>
          <w:p w14:paraId="368FA09C" w14:textId="07F297E3" w:rsidR="007271AD" w:rsidRPr="004945E1" w:rsidRDefault="00FB26D9">
            <w:pPr>
              <w:spacing w:after="160" w:line="256" w:lineRule="auto"/>
              <w:rPr>
                <w:i/>
                <w:sz w:val="22"/>
                <w:lang w:val="es-VE"/>
              </w:rPr>
            </w:pPr>
            <w:r w:rsidRPr="004945E1">
              <w:rPr>
                <w:i/>
                <w:sz w:val="22"/>
                <w:lang w:val="es-VE"/>
              </w:rPr>
              <w:t>Debe seleccionar una de las siguientes opciones que están disponibles en</w:t>
            </w:r>
            <w:r w:rsidR="00BB3F87" w:rsidRPr="004945E1">
              <w:rPr>
                <w:i/>
                <w:sz w:val="22"/>
                <w:lang w:val="es-VE"/>
              </w:rPr>
              <w:t xml:space="preserve"> el</w:t>
            </w:r>
            <w:r w:rsidRPr="004945E1">
              <w:rPr>
                <w:i/>
                <w:sz w:val="22"/>
                <w:lang w:val="es-VE"/>
              </w:rPr>
              <w:t xml:space="preserve"> HMIS: </w:t>
            </w:r>
          </w:p>
          <w:p w14:paraId="309D4F0B" w14:textId="6B4EC4F1" w:rsidR="007271AD" w:rsidRPr="004945E1" w:rsidRDefault="00FB26D9">
            <w:pPr>
              <w:spacing w:after="160" w:line="257" w:lineRule="auto"/>
              <w:contextualSpacing/>
              <w:rPr>
                <w:i/>
                <w:sz w:val="22"/>
                <w:lang w:val="es-VE"/>
              </w:rPr>
            </w:pPr>
            <w:r w:rsidRPr="004945E1">
              <w:rPr>
                <w:i/>
                <w:sz w:val="22"/>
                <w:lang w:val="es-VE"/>
              </w:rPr>
              <w:t xml:space="preserve">Femenino </w:t>
            </w:r>
          </w:p>
          <w:p w14:paraId="47E62EE9" w14:textId="0219E290" w:rsidR="007271AD" w:rsidRPr="004945E1" w:rsidRDefault="00FB26D9">
            <w:pPr>
              <w:spacing w:after="160" w:line="257" w:lineRule="auto"/>
              <w:contextualSpacing/>
              <w:rPr>
                <w:i/>
                <w:sz w:val="22"/>
                <w:lang w:val="es-VE"/>
              </w:rPr>
            </w:pPr>
            <w:r w:rsidRPr="004945E1">
              <w:rPr>
                <w:i/>
                <w:sz w:val="22"/>
                <w:lang w:val="es-VE"/>
              </w:rPr>
              <w:t>Masculino</w:t>
            </w:r>
          </w:p>
          <w:p w14:paraId="361552BB" w14:textId="0BCF421F" w:rsidR="007271AD" w:rsidRPr="004945E1" w:rsidRDefault="00FB26D9">
            <w:pPr>
              <w:spacing w:after="160" w:line="257" w:lineRule="auto"/>
              <w:contextualSpacing/>
              <w:rPr>
                <w:i/>
                <w:sz w:val="22"/>
                <w:lang w:val="es-VE"/>
              </w:rPr>
            </w:pPr>
            <w:r w:rsidRPr="004945E1">
              <w:rPr>
                <w:i/>
                <w:sz w:val="22"/>
                <w:lang w:val="es-VE"/>
              </w:rPr>
              <w:t>Un género que no sea singularmente femenino o masculino (por ejemplo, no binario, género fluido, agénero, género culturalmente específico)</w:t>
            </w:r>
          </w:p>
          <w:p w14:paraId="29285609" w14:textId="680BB9D1" w:rsidR="007271AD" w:rsidRPr="004945E1" w:rsidRDefault="00FB26D9">
            <w:pPr>
              <w:spacing w:after="160" w:line="257" w:lineRule="auto"/>
              <w:contextualSpacing/>
              <w:rPr>
                <w:i/>
                <w:sz w:val="22"/>
                <w:lang w:val="es-VE"/>
              </w:rPr>
            </w:pPr>
            <w:r w:rsidRPr="004945E1">
              <w:rPr>
                <w:i/>
                <w:sz w:val="22"/>
                <w:lang w:val="es-VE"/>
              </w:rPr>
              <w:t>Transgénero</w:t>
            </w:r>
          </w:p>
          <w:p w14:paraId="24E47E97" w14:textId="2C2492B1" w:rsidR="007271AD" w:rsidRPr="004945E1" w:rsidRDefault="00FB26D9">
            <w:pPr>
              <w:spacing w:after="160" w:line="257" w:lineRule="auto"/>
              <w:contextualSpacing/>
              <w:rPr>
                <w:i/>
                <w:sz w:val="22"/>
                <w:lang w:val="es-VE"/>
              </w:rPr>
            </w:pPr>
            <w:r w:rsidRPr="004945E1">
              <w:rPr>
                <w:i/>
                <w:sz w:val="22"/>
                <w:lang w:val="es-VE"/>
              </w:rPr>
              <w:t>En búsqueda</w:t>
            </w:r>
          </w:p>
          <w:p w14:paraId="121C4E1F" w14:textId="68420FAD" w:rsidR="007271AD" w:rsidRPr="004945E1" w:rsidRDefault="00FB26D9">
            <w:pPr>
              <w:spacing w:after="160" w:line="257" w:lineRule="auto"/>
              <w:contextualSpacing/>
              <w:rPr>
                <w:i/>
                <w:sz w:val="22"/>
                <w:lang w:val="es-VE"/>
              </w:rPr>
            </w:pPr>
            <w:r w:rsidRPr="004945E1">
              <w:rPr>
                <w:i/>
                <w:sz w:val="22"/>
                <w:lang w:val="es-VE"/>
              </w:rPr>
              <w:t>El cliente no sabe</w:t>
            </w:r>
          </w:p>
          <w:p w14:paraId="441422C5" w14:textId="644B7A98" w:rsidR="007271AD" w:rsidRPr="004945E1" w:rsidRDefault="00FB26D9">
            <w:pPr>
              <w:spacing w:after="160" w:line="257" w:lineRule="auto"/>
              <w:contextualSpacing/>
              <w:rPr>
                <w:i/>
                <w:sz w:val="22"/>
                <w:lang w:val="es-VE"/>
              </w:rPr>
            </w:pPr>
            <w:r w:rsidRPr="004945E1">
              <w:rPr>
                <w:i/>
                <w:sz w:val="22"/>
                <w:lang w:val="es-VE"/>
              </w:rPr>
              <w:t>El cliente se rehusó</w:t>
            </w:r>
          </w:p>
        </w:tc>
      </w:tr>
      <w:tr w:rsidR="007271AD" w:rsidRPr="004945E1" w14:paraId="786DEB78" w14:textId="77777777">
        <w:trPr>
          <w:trHeight w:val="755"/>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22E7B5FB" w14:textId="263C3907" w:rsidR="007271AD" w:rsidRPr="004945E1" w:rsidRDefault="00FB26D9">
            <w:pPr>
              <w:spacing w:after="160" w:line="256" w:lineRule="auto"/>
              <w:rPr>
                <w:sz w:val="22"/>
                <w:lang w:val="es-VE"/>
              </w:rPr>
            </w:pPr>
            <w:r w:rsidRPr="004945E1">
              <w:rPr>
                <w:sz w:val="22"/>
                <w:lang w:val="es-VE"/>
              </w:rPr>
              <w:t>Identidad LGBTQ+</w:t>
            </w:r>
          </w:p>
        </w:tc>
        <w:tc>
          <w:tcPr>
            <w:tcW w:w="5395" w:type="dxa"/>
            <w:tcBorders>
              <w:left w:val="single" w:sz="4" w:space="0" w:color="auto"/>
              <w:right w:val="single" w:sz="4" w:space="0" w:color="auto"/>
            </w:tcBorders>
            <w:shd w:val="clear" w:color="auto" w:fill="auto"/>
          </w:tcPr>
          <w:p w14:paraId="2E3D157B" w14:textId="007505E5" w:rsidR="007271AD" w:rsidRPr="004945E1" w:rsidRDefault="00FB26D9">
            <w:pPr>
              <w:spacing w:after="160" w:line="256" w:lineRule="auto"/>
              <w:rPr>
                <w:i/>
                <w:sz w:val="22"/>
                <w:lang w:val="es-VE"/>
              </w:rPr>
            </w:pPr>
            <w:r w:rsidRPr="004945E1">
              <w:rPr>
                <w:i/>
                <w:sz w:val="22"/>
                <w:lang w:val="es-VE"/>
              </w:rPr>
              <w:t xml:space="preserve">Esta es una pregunta de “sí o no”. Indique si el </w:t>
            </w:r>
            <w:r w:rsidR="0051197C" w:rsidRPr="004945E1">
              <w:rPr>
                <w:i/>
                <w:sz w:val="22"/>
                <w:lang w:val="es-VE"/>
              </w:rPr>
              <w:t>jefe</w:t>
            </w:r>
            <w:r w:rsidRPr="004945E1">
              <w:rPr>
                <w:i/>
                <w:sz w:val="22"/>
                <w:lang w:val="es-VE"/>
              </w:rPr>
              <w:t xml:space="preserve"> de familia se identifica como LGBTQ+. </w:t>
            </w:r>
          </w:p>
        </w:tc>
      </w:tr>
      <w:tr w:rsidR="007271AD" w:rsidRPr="004945E1" w14:paraId="76AD571A" w14:textId="77777777">
        <w:trPr>
          <w:trHeight w:val="575"/>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0B559AFC" w14:textId="02D1787B" w:rsidR="007271AD" w:rsidRPr="004945E1" w:rsidRDefault="00FB26D9">
            <w:pPr>
              <w:spacing w:after="160" w:line="256" w:lineRule="auto"/>
              <w:rPr>
                <w:sz w:val="22"/>
                <w:lang w:val="es-VE"/>
              </w:rPr>
            </w:pPr>
            <w:r w:rsidRPr="004945E1">
              <w:rPr>
                <w:sz w:val="22"/>
                <w:lang w:val="es-VE"/>
              </w:rPr>
              <w:t>Número de personas en el hogar</w:t>
            </w:r>
          </w:p>
        </w:tc>
        <w:tc>
          <w:tcPr>
            <w:tcW w:w="5395" w:type="dxa"/>
            <w:tcBorders>
              <w:left w:val="single" w:sz="4" w:space="0" w:color="auto"/>
              <w:right w:val="single" w:sz="4" w:space="0" w:color="auto"/>
            </w:tcBorders>
            <w:shd w:val="clear" w:color="auto" w:fill="auto"/>
          </w:tcPr>
          <w:p w14:paraId="6E2759CF" w14:textId="0FDA0048" w:rsidR="007271AD" w:rsidRPr="004945E1" w:rsidRDefault="00FB26D9">
            <w:pPr>
              <w:spacing w:after="160" w:line="256" w:lineRule="auto"/>
              <w:rPr>
                <w:i/>
                <w:sz w:val="22"/>
                <w:lang w:val="es-VE"/>
              </w:rPr>
            </w:pPr>
            <w:r w:rsidRPr="004945E1">
              <w:rPr>
                <w:i/>
                <w:sz w:val="22"/>
                <w:lang w:val="es-VE"/>
              </w:rPr>
              <w:t xml:space="preserve">Número de personas en el hogar que se mudarán juntas a la vivienda. Si hay una persona que es parte del hogar o puede ser parte del hogar en el futuro pero que actualmente no está en el hogar (por ejemplo, custodia parcial del niño), converse con el </w:t>
            </w:r>
            <w:r w:rsidR="0051197C" w:rsidRPr="004945E1">
              <w:rPr>
                <w:i/>
                <w:sz w:val="22"/>
                <w:lang w:val="es-VE"/>
              </w:rPr>
              <w:t>grupo familiar</w:t>
            </w:r>
            <w:r w:rsidRPr="004945E1">
              <w:rPr>
                <w:i/>
                <w:sz w:val="22"/>
                <w:lang w:val="es-VE"/>
              </w:rPr>
              <w:t xml:space="preserve"> para conocer la cantidad de personas que deben ser consideradas al buscar una opción de vivienda </w:t>
            </w:r>
          </w:p>
        </w:tc>
      </w:tr>
      <w:tr w:rsidR="007271AD" w:rsidRPr="004945E1" w14:paraId="63B4A13B" w14:textId="77777777">
        <w:trPr>
          <w:trHeight w:val="575"/>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7496EF37" w14:textId="2A973031" w:rsidR="007271AD" w:rsidRPr="004945E1" w:rsidRDefault="00FB26D9">
            <w:pPr>
              <w:spacing w:after="160" w:line="256" w:lineRule="auto"/>
              <w:rPr>
                <w:sz w:val="22"/>
                <w:lang w:val="es-VE"/>
              </w:rPr>
            </w:pPr>
            <w:r w:rsidRPr="004945E1">
              <w:rPr>
                <w:sz w:val="22"/>
                <w:lang w:val="es-VE"/>
              </w:rPr>
              <w:lastRenderedPageBreak/>
              <w:t>Familia con niños</w:t>
            </w:r>
          </w:p>
        </w:tc>
        <w:tc>
          <w:tcPr>
            <w:tcW w:w="5395" w:type="dxa"/>
            <w:tcBorders>
              <w:left w:val="single" w:sz="4" w:space="0" w:color="auto"/>
              <w:right w:val="single" w:sz="4" w:space="0" w:color="auto"/>
            </w:tcBorders>
            <w:shd w:val="clear" w:color="auto" w:fill="auto"/>
          </w:tcPr>
          <w:p w14:paraId="5D641634" w14:textId="081C8202" w:rsidR="007271AD" w:rsidRPr="004945E1" w:rsidRDefault="00FB26D9">
            <w:pPr>
              <w:spacing w:after="160" w:line="256" w:lineRule="auto"/>
              <w:rPr>
                <w:i/>
                <w:sz w:val="22"/>
                <w:lang w:val="es-VE"/>
              </w:rPr>
            </w:pPr>
            <w:r w:rsidRPr="004945E1">
              <w:rPr>
                <w:i/>
                <w:sz w:val="22"/>
                <w:lang w:val="es-VE"/>
              </w:rPr>
              <w:t xml:space="preserve">Esta es una pregunta de “sí o no”. Indique si en el hogar hay niños menores de 21 años presentes. </w:t>
            </w:r>
          </w:p>
        </w:tc>
      </w:tr>
      <w:tr w:rsidR="007271AD" w:rsidRPr="004945E1" w14:paraId="23420BD2" w14:textId="77777777">
        <w:trPr>
          <w:trHeight w:val="575"/>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30B18487" w14:textId="72009412" w:rsidR="007271AD" w:rsidRPr="004945E1" w:rsidRDefault="00FB26D9">
            <w:pPr>
              <w:spacing w:after="160" w:line="256" w:lineRule="auto"/>
              <w:rPr>
                <w:sz w:val="22"/>
                <w:lang w:val="es-VE"/>
              </w:rPr>
            </w:pPr>
            <w:r w:rsidRPr="004945E1">
              <w:rPr>
                <w:sz w:val="22"/>
                <w:lang w:val="es-VE"/>
              </w:rPr>
              <w:t xml:space="preserve">Estado con respecto al servicio militar </w:t>
            </w:r>
          </w:p>
        </w:tc>
        <w:tc>
          <w:tcPr>
            <w:tcW w:w="5395" w:type="dxa"/>
            <w:tcBorders>
              <w:left w:val="single" w:sz="4" w:space="0" w:color="auto"/>
              <w:right w:val="single" w:sz="4" w:space="0" w:color="auto"/>
            </w:tcBorders>
            <w:shd w:val="clear" w:color="auto" w:fill="auto"/>
          </w:tcPr>
          <w:p w14:paraId="2535FD45" w14:textId="1DEF2C6C" w:rsidR="007271AD" w:rsidRPr="004945E1" w:rsidRDefault="00FB26D9">
            <w:pPr>
              <w:spacing w:after="160" w:line="256" w:lineRule="auto"/>
              <w:rPr>
                <w:i/>
                <w:sz w:val="22"/>
                <w:lang w:val="es-VE"/>
              </w:rPr>
            </w:pPr>
            <w:r w:rsidRPr="004945E1">
              <w:rPr>
                <w:i/>
                <w:sz w:val="22"/>
                <w:lang w:val="es-VE"/>
              </w:rPr>
              <w:t>Esta es una pregunta de “sí o no”. Esta pregunta se refiere a si algún miembro del hogar ha servido o no en el ejército de los EE.UU. Se recomienda que intente verificar el estado de baja para evaluar qué tipo de servicios para veteranos podrían estar disponibles para alguien. Un veterano se define como “una persona que sirvió en el servicio militar, naval o aéreo activo, independientemente de la duración del servicio, y que fue dado de baja o relevado de allí. Veterano excluye a una persona que recibió una baja deshonrosa de las Fuerzas Armadas o fue dada de baja o despedida de las Fuerzas Armadas debido a la sentencia de una corte marcial general. No se aplican las restricciones de duración del servicio bajo 38 U.S.C. 5303A”. Independientemente, si la respuesta a esta pregunta es afirmativa, consulte a un proveedor de servicios para veteranos, consulte la lista en la página 20 para evaluar la elegibilidad adicional para los servicios.</w:t>
            </w:r>
            <w:r w:rsidRPr="004945E1">
              <w:rPr>
                <w:sz w:val="22"/>
                <w:lang w:val="es-VE"/>
              </w:rPr>
              <w:t xml:space="preserve"> </w:t>
            </w:r>
          </w:p>
        </w:tc>
      </w:tr>
      <w:tr w:rsidR="007271AD" w:rsidRPr="004945E1" w14:paraId="44C52227" w14:textId="77777777">
        <w:trPr>
          <w:trHeight w:val="575"/>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19983F40" w14:textId="122C4EE4" w:rsidR="007271AD" w:rsidRPr="004945E1" w:rsidRDefault="00FB26D9">
            <w:pPr>
              <w:spacing w:after="160" w:line="256" w:lineRule="auto"/>
              <w:rPr>
                <w:sz w:val="22"/>
                <w:lang w:val="es-VE"/>
              </w:rPr>
            </w:pPr>
            <w:r w:rsidRPr="004945E1">
              <w:rPr>
                <w:sz w:val="22"/>
                <w:lang w:val="es-VE"/>
              </w:rPr>
              <w:t>Condición incapacitante</w:t>
            </w:r>
          </w:p>
        </w:tc>
        <w:tc>
          <w:tcPr>
            <w:tcW w:w="5395" w:type="dxa"/>
            <w:tcBorders>
              <w:left w:val="single" w:sz="4" w:space="0" w:color="auto"/>
              <w:right w:val="single" w:sz="4" w:space="0" w:color="auto"/>
            </w:tcBorders>
            <w:shd w:val="clear" w:color="auto" w:fill="auto"/>
          </w:tcPr>
          <w:p w14:paraId="00BF44F5" w14:textId="68476F38" w:rsidR="007271AD" w:rsidRPr="004945E1" w:rsidRDefault="00FB26D9">
            <w:pPr>
              <w:spacing w:after="160" w:line="256" w:lineRule="auto"/>
              <w:rPr>
                <w:i/>
                <w:sz w:val="22"/>
                <w:lang w:val="es-VE"/>
              </w:rPr>
            </w:pPr>
            <w:r w:rsidRPr="004945E1">
              <w:rPr>
                <w:i/>
                <w:sz w:val="22"/>
                <w:lang w:val="es-VE"/>
              </w:rPr>
              <w:t xml:space="preserve">Esta es una pregunta de “sí o no”. Indique si el </w:t>
            </w:r>
            <w:r w:rsidR="007B1943" w:rsidRPr="004945E1">
              <w:rPr>
                <w:i/>
                <w:sz w:val="22"/>
                <w:lang w:val="es-VE"/>
              </w:rPr>
              <w:t>jefe</w:t>
            </w:r>
            <w:r w:rsidRPr="004945E1">
              <w:rPr>
                <w:i/>
                <w:sz w:val="22"/>
                <w:lang w:val="es-VE"/>
              </w:rPr>
              <w:t xml:space="preserve"> de familia se identifica a sí mismo con una condición de discapacidad o si tiene una condición de discapacidad documentada. No es necesario que tengan una discapacidad documentada o una condición de discapacidad confirmada por un profesional médico para responder que sí; esto puede identificarse por sí mismo. </w:t>
            </w:r>
          </w:p>
        </w:tc>
      </w:tr>
      <w:tr w:rsidR="007271AD" w:rsidRPr="004945E1" w14:paraId="038E5CED" w14:textId="77777777">
        <w:trPr>
          <w:trHeight w:val="575"/>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111C9116" w14:textId="10E0BA3F" w:rsidR="007271AD" w:rsidRPr="004945E1" w:rsidRDefault="00FB26D9">
            <w:pPr>
              <w:spacing w:after="160" w:line="256" w:lineRule="auto"/>
              <w:rPr>
                <w:sz w:val="22"/>
                <w:lang w:val="es-VE"/>
              </w:rPr>
            </w:pPr>
            <w:r w:rsidRPr="004945E1">
              <w:rPr>
                <w:sz w:val="22"/>
                <w:lang w:val="es-VE"/>
              </w:rPr>
              <w:t>Estado crónico de personas sin hogar</w:t>
            </w:r>
          </w:p>
        </w:tc>
        <w:tc>
          <w:tcPr>
            <w:tcW w:w="5395" w:type="dxa"/>
            <w:tcBorders>
              <w:left w:val="single" w:sz="4" w:space="0" w:color="auto"/>
              <w:right w:val="single" w:sz="4" w:space="0" w:color="auto"/>
            </w:tcBorders>
            <w:shd w:val="clear" w:color="auto" w:fill="auto"/>
          </w:tcPr>
          <w:p w14:paraId="07F61B41" w14:textId="77777777" w:rsidR="007271AD" w:rsidRPr="004945E1" w:rsidRDefault="00FB26D9">
            <w:pPr>
              <w:spacing w:after="160" w:line="256" w:lineRule="auto"/>
              <w:rPr>
                <w:i/>
                <w:sz w:val="22"/>
                <w:lang w:val="es-VE"/>
              </w:rPr>
            </w:pPr>
            <w:r w:rsidRPr="004945E1">
              <w:rPr>
                <w:i/>
                <w:sz w:val="22"/>
                <w:lang w:val="es-VE"/>
              </w:rPr>
              <w:t xml:space="preserve">En la medida de sus posibilidades, a través de preguntas guiadas y conociendo a la persona que está siendo evaluada, determine si la persona tiene o no una condición crónica o no crónica de falta de hogar. </w:t>
            </w:r>
          </w:p>
          <w:p w14:paraId="0FF6A115" w14:textId="7B436BB8" w:rsidR="007271AD" w:rsidRPr="004945E1" w:rsidRDefault="00FB26D9">
            <w:pPr>
              <w:spacing w:after="160" w:line="256" w:lineRule="auto"/>
              <w:rPr>
                <w:i/>
                <w:sz w:val="22"/>
                <w:lang w:val="es-VE"/>
              </w:rPr>
            </w:pPr>
            <w:r w:rsidRPr="004945E1">
              <w:rPr>
                <w:i/>
                <w:sz w:val="22"/>
                <w:lang w:val="es-VE"/>
              </w:rPr>
              <w:t xml:space="preserve">Una persona tiene una </w:t>
            </w:r>
            <w:hyperlink r:id="rId19" w:history="1">
              <w:r w:rsidRPr="004945E1">
                <w:rPr>
                  <w:rStyle w:val="Hyperlink"/>
                  <w:b/>
                  <w:i/>
                  <w:sz w:val="22"/>
                  <w:lang w:val="es-VE"/>
                </w:rPr>
                <w:t>falta de hogar crónica</w:t>
              </w:r>
            </w:hyperlink>
            <w:r w:rsidRPr="004945E1">
              <w:rPr>
                <w:i/>
                <w:sz w:val="22"/>
                <w:lang w:val="es-VE"/>
              </w:rPr>
              <w:t xml:space="preserve"> si tiene una discapacidad calificada Y actualmente reside en un refugio de emergencia, en la calle o en un lugar que no está destinado a la habitación humana, o en Safe Haven Y ha estado sin hogar</w:t>
            </w:r>
            <w:r w:rsidR="00445E86" w:rsidRPr="004945E1">
              <w:rPr>
                <w:i/>
                <w:sz w:val="22"/>
                <w:lang w:val="es-VE"/>
              </w:rPr>
              <w:t xml:space="preserve"> literal</w:t>
            </w:r>
            <w:r w:rsidRPr="004945E1">
              <w:rPr>
                <w:i/>
                <w:sz w:val="22"/>
                <w:lang w:val="es-VE"/>
              </w:rPr>
              <w:t xml:space="preserve"> durante 12 meses consecutivos o un total de 12 meses durante los últimos 3 años. </w:t>
            </w:r>
          </w:p>
        </w:tc>
      </w:tr>
      <w:tr w:rsidR="007271AD" w:rsidRPr="004945E1" w14:paraId="4502B6CD" w14:textId="77777777">
        <w:trPr>
          <w:trHeight w:val="575"/>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7052FFE7" w14:textId="75545BC0" w:rsidR="007271AD" w:rsidRPr="004945E1" w:rsidRDefault="00FB26D9">
            <w:pPr>
              <w:spacing w:after="160" w:line="256" w:lineRule="auto"/>
              <w:rPr>
                <w:sz w:val="22"/>
                <w:lang w:val="es-VE"/>
              </w:rPr>
            </w:pPr>
            <w:r w:rsidRPr="004945E1">
              <w:rPr>
                <w:sz w:val="22"/>
                <w:lang w:val="es-VE"/>
              </w:rPr>
              <w:t>¿Se requiere interpretación? Si es así, idioma</w:t>
            </w:r>
          </w:p>
        </w:tc>
        <w:tc>
          <w:tcPr>
            <w:tcW w:w="5395" w:type="dxa"/>
            <w:tcBorders>
              <w:left w:val="single" w:sz="4" w:space="0" w:color="auto"/>
              <w:right w:val="single" w:sz="4" w:space="0" w:color="auto"/>
            </w:tcBorders>
            <w:shd w:val="clear" w:color="auto" w:fill="auto"/>
          </w:tcPr>
          <w:p w14:paraId="36C3C357" w14:textId="77777777" w:rsidR="007271AD" w:rsidRPr="004945E1" w:rsidRDefault="00FB26D9">
            <w:pPr>
              <w:spacing w:after="160" w:line="256" w:lineRule="auto"/>
              <w:rPr>
                <w:i/>
                <w:sz w:val="22"/>
                <w:lang w:val="es-VE"/>
              </w:rPr>
            </w:pPr>
            <w:r w:rsidRPr="004945E1">
              <w:rPr>
                <w:i/>
                <w:sz w:val="22"/>
                <w:lang w:val="es-VE"/>
              </w:rPr>
              <w:t xml:space="preserve">Indique si una persona requiere interpretación para un idioma que no sea inglés durante la evaluación y, de ser así, en qué idioma. </w:t>
            </w:r>
          </w:p>
          <w:p w14:paraId="3B303F8C" w14:textId="0191E923" w:rsidR="007271AD" w:rsidRPr="004945E1" w:rsidRDefault="00FB26D9">
            <w:pPr>
              <w:spacing w:after="160" w:line="256" w:lineRule="auto"/>
              <w:rPr>
                <w:i/>
                <w:sz w:val="22"/>
                <w:lang w:val="es-VE"/>
              </w:rPr>
            </w:pPr>
            <w:r w:rsidRPr="004945E1">
              <w:rPr>
                <w:i/>
                <w:sz w:val="22"/>
                <w:lang w:val="es-VE"/>
              </w:rPr>
              <w:t>Idiomas disponibles en</w:t>
            </w:r>
            <w:r w:rsidR="00445E86" w:rsidRPr="004945E1">
              <w:rPr>
                <w:i/>
                <w:sz w:val="22"/>
                <w:lang w:val="es-VE"/>
              </w:rPr>
              <w:t xml:space="preserve"> el</w:t>
            </w:r>
            <w:r w:rsidRPr="004945E1">
              <w:rPr>
                <w:i/>
                <w:sz w:val="22"/>
                <w:lang w:val="es-VE"/>
              </w:rPr>
              <w:t xml:space="preserve"> HMIS: albanés, lenguaje de señas americano, amárico, árabe, armenio, bengalí, bosnio, búlgaro, birmano, chino, croata, checo, holandés, inglés, farsi, francés, alemán, giurati, griego, criollo </w:t>
            </w:r>
            <w:r w:rsidRPr="004945E1">
              <w:rPr>
                <w:i/>
                <w:sz w:val="22"/>
                <w:lang w:val="es-VE"/>
              </w:rPr>
              <w:lastRenderedPageBreak/>
              <w:t>haitiano, hebreo, hindi, hmong, húngaro, igbo, ilocano, indonesio, italiano, japonés, khmer, coran, laosiano, lituano, malayalam, marathi, navajo, nepalí, polaco, portugués, punjabi, rumano, ruso, serbio, cingalés, eslovaco, somalí, español, swahili, sueco, tagalo, tamil, telugu, tailandés, tigrinya, turco, twi, ucraniano, urdu, vietnamita, yiddish, yoruba</w:t>
            </w:r>
          </w:p>
        </w:tc>
      </w:tr>
      <w:tr w:rsidR="007271AD" w:rsidRPr="004945E1" w14:paraId="513B2FDD" w14:textId="77777777">
        <w:trPr>
          <w:trHeight w:val="575"/>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79AF2AA7" w14:textId="38444ED0" w:rsidR="007271AD" w:rsidRPr="004945E1" w:rsidRDefault="00FB26D9">
            <w:pPr>
              <w:spacing w:after="160" w:line="256" w:lineRule="auto"/>
              <w:rPr>
                <w:sz w:val="22"/>
                <w:lang w:val="es-VE"/>
              </w:rPr>
            </w:pPr>
            <w:r w:rsidRPr="004945E1">
              <w:rPr>
                <w:sz w:val="22"/>
                <w:lang w:val="es-VE"/>
              </w:rPr>
              <w:lastRenderedPageBreak/>
              <w:t>Divulgación de codificación de información</w:t>
            </w:r>
          </w:p>
        </w:tc>
        <w:tc>
          <w:tcPr>
            <w:tcW w:w="5395" w:type="dxa"/>
            <w:tcBorders>
              <w:left w:val="single" w:sz="4" w:space="0" w:color="auto"/>
              <w:bottom w:val="single" w:sz="4" w:space="0" w:color="auto"/>
              <w:right w:val="single" w:sz="4" w:space="0" w:color="auto"/>
            </w:tcBorders>
            <w:shd w:val="clear" w:color="auto" w:fill="auto"/>
          </w:tcPr>
          <w:p w14:paraId="754ECFA9" w14:textId="781AB0F0" w:rsidR="007271AD" w:rsidRPr="004945E1" w:rsidRDefault="00FB26D9">
            <w:pPr>
              <w:spacing w:after="160" w:line="256" w:lineRule="auto"/>
              <w:rPr>
                <w:i/>
                <w:sz w:val="22"/>
                <w:lang w:val="es-VE"/>
              </w:rPr>
            </w:pPr>
            <w:r w:rsidRPr="004945E1">
              <w:rPr>
                <w:i/>
                <w:sz w:val="22"/>
                <w:lang w:val="es-VE"/>
              </w:rPr>
              <w:t>Indique, de acuerdo con la Divulgación de Información (ROI, por sus siglas en inglés), el nivel de participación en CE que alguien ha dado su consentimiento.</w:t>
            </w:r>
            <w:r w:rsidR="00C7334B" w:rsidRPr="004945E1">
              <w:rPr>
                <w:i/>
                <w:sz w:val="22"/>
                <w:lang w:val="es-VE"/>
              </w:rPr>
              <w:t xml:space="preserve"> Seleccione una de las siguientes</w:t>
            </w:r>
            <w:r w:rsidRPr="004945E1">
              <w:rPr>
                <w:i/>
                <w:sz w:val="22"/>
                <w:lang w:val="es-VE"/>
              </w:rPr>
              <w:t xml:space="preserve"> opciones: </w:t>
            </w:r>
          </w:p>
          <w:p w14:paraId="60850142" w14:textId="7D518A22" w:rsidR="007271AD" w:rsidRPr="004945E1" w:rsidRDefault="00FB26D9">
            <w:pPr>
              <w:spacing w:after="160" w:line="256" w:lineRule="auto"/>
              <w:rPr>
                <w:i/>
                <w:sz w:val="22"/>
                <w:lang w:val="es-VE"/>
              </w:rPr>
            </w:pPr>
            <w:r w:rsidRPr="004945E1">
              <w:rPr>
                <w:i/>
                <w:sz w:val="22"/>
                <w:lang w:val="es-VE"/>
              </w:rPr>
              <w:t>1 - Seleccionar "1" significa que la persona ha dado su consentimiento para participar plenamente en</w:t>
            </w:r>
            <w:r w:rsidR="0042291A" w:rsidRPr="004945E1">
              <w:rPr>
                <w:i/>
                <w:sz w:val="22"/>
                <w:lang w:val="es-VE"/>
              </w:rPr>
              <w:t xml:space="preserve"> el</w:t>
            </w:r>
            <w:r w:rsidRPr="004945E1">
              <w:rPr>
                <w:i/>
                <w:sz w:val="22"/>
                <w:lang w:val="es-VE"/>
              </w:rPr>
              <w:t xml:space="preserve"> HMIS y CE, lo que significa que toda la información ingresada en</w:t>
            </w:r>
            <w:r w:rsidR="0042291A" w:rsidRPr="004945E1">
              <w:rPr>
                <w:i/>
                <w:sz w:val="22"/>
                <w:lang w:val="es-VE"/>
              </w:rPr>
              <w:t xml:space="preserve"> el</w:t>
            </w:r>
            <w:r w:rsidRPr="004945E1">
              <w:rPr>
                <w:i/>
                <w:sz w:val="22"/>
                <w:lang w:val="es-VE"/>
              </w:rPr>
              <w:t xml:space="preserve"> HMIS se puede analizar durante la Conferencia de Casos. Esta opción debe seleccionarse si alguien ha aceptado que su información se ingrese en </w:t>
            </w:r>
            <w:r w:rsidR="0042291A" w:rsidRPr="004945E1">
              <w:rPr>
                <w:i/>
                <w:sz w:val="22"/>
                <w:lang w:val="es-VE"/>
              </w:rPr>
              <w:t xml:space="preserve">el </w:t>
            </w:r>
            <w:r w:rsidRPr="004945E1">
              <w:rPr>
                <w:i/>
                <w:sz w:val="22"/>
                <w:lang w:val="es-VE"/>
              </w:rPr>
              <w:t xml:space="preserve">HMIS, incluso si esa información está codificada. Esto debe seleccionarse cuando alguien da su consentimiento para el "Acceso Coordinado Identificado a la Vivienda" en la ROI. Esta selección significa que no se puede discutir el estado de tratamiento de VIH/SIDA y alcohol/drogas y, por lo tanto, no se hacen suposiciones sobre si alguien tiene o no alguno de los dos estados. </w:t>
            </w:r>
          </w:p>
          <w:p w14:paraId="0F80C765" w14:textId="49C18394" w:rsidR="007271AD" w:rsidRPr="004945E1" w:rsidRDefault="00FB26D9">
            <w:pPr>
              <w:spacing w:after="160" w:line="256" w:lineRule="auto"/>
              <w:rPr>
                <w:i/>
                <w:sz w:val="22"/>
                <w:lang w:val="es-VE"/>
              </w:rPr>
            </w:pPr>
            <w:r w:rsidRPr="004945E1">
              <w:rPr>
                <w:i/>
                <w:sz w:val="22"/>
                <w:lang w:val="es-VE"/>
              </w:rPr>
              <w:t xml:space="preserve">2 – Seleccionar “2” significa que la persona ha dado su consentimiento para participar plenamente en </w:t>
            </w:r>
            <w:r w:rsidR="00E046EF" w:rsidRPr="004945E1">
              <w:rPr>
                <w:i/>
                <w:sz w:val="22"/>
                <w:lang w:val="es-VE"/>
              </w:rPr>
              <w:t xml:space="preserve">el </w:t>
            </w:r>
            <w:r w:rsidRPr="004945E1">
              <w:rPr>
                <w:i/>
                <w:sz w:val="22"/>
                <w:lang w:val="es-VE"/>
              </w:rPr>
              <w:t xml:space="preserve">HMIS y CE </w:t>
            </w:r>
            <w:r w:rsidRPr="004945E1">
              <w:rPr>
                <w:b/>
                <w:i/>
                <w:sz w:val="22"/>
                <w:lang w:val="es-VE"/>
              </w:rPr>
              <w:t xml:space="preserve">Y </w:t>
            </w:r>
            <w:r w:rsidRPr="004945E1">
              <w:rPr>
                <w:i/>
                <w:sz w:val="22"/>
                <w:lang w:val="es-VE"/>
              </w:rPr>
              <w:t>también ha dado su consentimiento para que se divulgue su estado de VIH/SIDA. (Esto significa que alguien ha dado su consentimiento para marcar la divulgación de VIH/SIDA en la ROI)</w:t>
            </w:r>
          </w:p>
          <w:p w14:paraId="4E9BB49D" w14:textId="25B4C971" w:rsidR="007271AD" w:rsidRPr="004945E1" w:rsidRDefault="00FB26D9">
            <w:pPr>
              <w:spacing w:after="160" w:line="256" w:lineRule="auto"/>
              <w:rPr>
                <w:i/>
                <w:sz w:val="22"/>
                <w:lang w:val="es-VE"/>
              </w:rPr>
            </w:pPr>
            <w:r w:rsidRPr="004945E1">
              <w:rPr>
                <w:i/>
                <w:sz w:val="22"/>
                <w:lang w:val="es-VE"/>
              </w:rPr>
              <w:t>3 – Seleccionar “3” significa que la persona ha dado su consentimiento para participar plenamente en</w:t>
            </w:r>
            <w:r w:rsidR="00E046EF" w:rsidRPr="004945E1">
              <w:rPr>
                <w:i/>
                <w:sz w:val="22"/>
                <w:lang w:val="es-VE"/>
              </w:rPr>
              <w:t xml:space="preserve"> el</w:t>
            </w:r>
            <w:r w:rsidRPr="004945E1">
              <w:rPr>
                <w:i/>
                <w:sz w:val="22"/>
                <w:lang w:val="es-VE"/>
              </w:rPr>
              <w:t xml:space="preserve"> HMIS y CE </w:t>
            </w:r>
            <w:r w:rsidRPr="004945E1">
              <w:rPr>
                <w:b/>
                <w:i/>
                <w:sz w:val="22"/>
                <w:lang w:val="es-VE"/>
              </w:rPr>
              <w:t xml:space="preserve">Y </w:t>
            </w:r>
            <w:r w:rsidRPr="004945E1">
              <w:rPr>
                <w:i/>
                <w:sz w:val="22"/>
                <w:lang w:val="es-VE"/>
              </w:rPr>
              <w:t>también ha dado su consentimiento para que se divulgue su estado de tratamiento por alcohol/drogas. (Esto significa que alguien ha dado su consentimiento para marcar la divulgación del tratamiento de alcohol/drogas en la ROI).</w:t>
            </w:r>
          </w:p>
          <w:p w14:paraId="500454EF" w14:textId="2A2B5937" w:rsidR="007271AD" w:rsidRPr="004945E1" w:rsidRDefault="00FB26D9">
            <w:pPr>
              <w:spacing w:after="160" w:line="256" w:lineRule="auto"/>
              <w:rPr>
                <w:i/>
                <w:sz w:val="22"/>
                <w:lang w:val="es-VE"/>
              </w:rPr>
            </w:pPr>
            <w:r w:rsidRPr="004945E1">
              <w:rPr>
                <w:i/>
                <w:sz w:val="22"/>
                <w:lang w:val="es-VE"/>
              </w:rPr>
              <w:t xml:space="preserve">4 – Seleccionar “4” significa que la persona no quiere que se comparta o discuta ninguna información sobre ellos durante las conferencias de casos o con ningún socio de CE. El facilitador de la conferencia de casos omitirá a esta persona, independientemente de si está codificada o no </w:t>
            </w:r>
            <w:r w:rsidRPr="004945E1">
              <w:rPr>
                <w:i/>
                <w:sz w:val="22"/>
                <w:lang w:val="es-VE"/>
              </w:rPr>
              <w:lastRenderedPageBreak/>
              <w:t xml:space="preserve">en </w:t>
            </w:r>
            <w:r w:rsidR="00E046EF" w:rsidRPr="004945E1">
              <w:rPr>
                <w:i/>
                <w:sz w:val="22"/>
                <w:lang w:val="es-VE"/>
              </w:rPr>
              <w:t xml:space="preserve">el </w:t>
            </w:r>
            <w:r w:rsidRPr="004945E1">
              <w:rPr>
                <w:i/>
                <w:sz w:val="22"/>
                <w:lang w:val="es-VE"/>
              </w:rPr>
              <w:t xml:space="preserve">HMIS, y no se discutirá durante la conferencia de casos. </w:t>
            </w:r>
          </w:p>
        </w:tc>
      </w:tr>
    </w:tbl>
    <w:p w14:paraId="54FD553B" w14:textId="0113DB3B" w:rsidR="007271AD" w:rsidRPr="004945E1" w:rsidRDefault="007271AD">
      <w:pPr>
        <w:spacing w:after="160" w:line="256" w:lineRule="auto"/>
        <w:rPr>
          <w:lang w:val="es-VE"/>
        </w:rPr>
      </w:pPr>
    </w:p>
    <w:tbl>
      <w:tblPr>
        <w:tblStyle w:val="TableGrid"/>
        <w:tblW w:w="10791" w:type="dxa"/>
        <w:tblLook w:val="04A0" w:firstRow="1" w:lastRow="0" w:firstColumn="1" w:lastColumn="0" w:noHBand="0" w:noVBand="1"/>
      </w:tblPr>
      <w:tblGrid>
        <w:gridCol w:w="5813"/>
        <w:gridCol w:w="4978"/>
      </w:tblGrid>
      <w:tr w:rsidR="007271AD" w:rsidRPr="004945E1" w14:paraId="392E4322" w14:textId="77777777">
        <w:tc>
          <w:tcPr>
            <w:tcW w:w="10791" w:type="dxa"/>
            <w:gridSpan w:val="2"/>
          </w:tcPr>
          <w:p w14:paraId="28CAA0A4" w14:textId="77777777" w:rsidR="007271AD" w:rsidRPr="004945E1" w:rsidRDefault="00FB26D9">
            <w:pPr>
              <w:spacing w:after="160" w:line="256" w:lineRule="auto"/>
              <w:jc w:val="center"/>
              <w:rPr>
                <w:b/>
                <w:sz w:val="28"/>
                <w:u w:val="single"/>
                <w:lang w:val="es-VE"/>
              </w:rPr>
            </w:pPr>
            <w:r w:rsidRPr="004945E1">
              <w:rPr>
                <w:b/>
                <w:sz w:val="28"/>
                <w:u w:val="single"/>
                <w:lang w:val="es-VE"/>
              </w:rPr>
              <w:t>Sección 2: Situación de vida actual y anterior</w:t>
            </w:r>
          </w:p>
          <w:p w14:paraId="51A81B5B" w14:textId="259F7B3B" w:rsidR="007271AD" w:rsidRPr="004945E1" w:rsidRDefault="00FB26D9">
            <w:pPr>
              <w:spacing w:after="160" w:line="256" w:lineRule="auto"/>
              <w:jc w:val="center"/>
              <w:rPr>
                <w:i/>
                <w:sz w:val="22"/>
                <w:lang w:val="es-VE"/>
              </w:rPr>
            </w:pPr>
            <w:r w:rsidRPr="004945E1">
              <w:rPr>
                <w:i/>
                <w:sz w:val="20"/>
                <w:lang w:val="es-VE"/>
              </w:rPr>
              <w:t xml:space="preserve">El propósito de esta sección es recopilar información sobre la Situación de Vida Actual y la Situación de Vida Anterior, que son Elementos de Datos requeridos que deben ingresarse en </w:t>
            </w:r>
            <w:r w:rsidR="002B79B7" w:rsidRPr="004945E1">
              <w:rPr>
                <w:i/>
                <w:sz w:val="20"/>
                <w:lang w:val="es-VE"/>
              </w:rPr>
              <w:t xml:space="preserve">el </w:t>
            </w:r>
            <w:r w:rsidRPr="004945E1">
              <w:rPr>
                <w:i/>
                <w:sz w:val="20"/>
                <w:lang w:val="es-VE"/>
              </w:rPr>
              <w:t xml:space="preserve">HMIS cuando se crea un perfil y cuando se ingresa una Evaluación de CE. Las preguntas no son parte de la sección de Evaluación de CE en </w:t>
            </w:r>
            <w:r w:rsidR="002B79B7" w:rsidRPr="004945E1">
              <w:rPr>
                <w:i/>
                <w:sz w:val="20"/>
                <w:lang w:val="es-VE"/>
              </w:rPr>
              <w:t xml:space="preserve">el </w:t>
            </w:r>
            <w:r w:rsidRPr="004945E1">
              <w:rPr>
                <w:i/>
                <w:sz w:val="20"/>
                <w:lang w:val="es-VE"/>
              </w:rPr>
              <w:t>HMIS.</w:t>
            </w:r>
          </w:p>
        </w:tc>
      </w:tr>
      <w:tr w:rsidR="007271AD" w:rsidRPr="004945E1" w14:paraId="1F4D75A5" w14:textId="77777777">
        <w:tc>
          <w:tcPr>
            <w:tcW w:w="5813" w:type="dxa"/>
            <w:hideMark/>
          </w:tcPr>
          <w:p w14:paraId="2804EBF1" w14:textId="77777777" w:rsidR="007271AD" w:rsidRPr="004945E1" w:rsidRDefault="00FB26D9">
            <w:pPr>
              <w:spacing w:after="160" w:line="256" w:lineRule="auto"/>
              <w:jc w:val="center"/>
              <w:rPr>
                <w:b/>
                <w:sz w:val="22"/>
                <w:lang w:val="es-VE"/>
              </w:rPr>
            </w:pPr>
            <w:r w:rsidRPr="004945E1">
              <w:rPr>
                <w:b/>
                <w:sz w:val="22"/>
                <w:lang w:val="es-VE"/>
              </w:rPr>
              <w:t>Preguntas de la Herramienta para la Evaluación</w:t>
            </w:r>
          </w:p>
        </w:tc>
        <w:tc>
          <w:tcPr>
            <w:tcW w:w="4978" w:type="dxa"/>
            <w:hideMark/>
          </w:tcPr>
          <w:p w14:paraId="5FDC3E43" w14:textId="77777777" w:rsidR="007271AD" w:rsidRPr="004945E1" w:rsidRDefault="00FB26D9">
            <w:pPr>
              <w:spacing w:after="160" w:line="256" w:lineRule="auto"/>
              <w:jc w:val="center"/>
              <w:rPr>
                <w:b/>
                <w:sz w:val="22"/>
                <w:lang w:val="es-VE"/>
              </w:rPr>
            </w:pPr>
            <w:r w:rsidRPr="004945E1">
              <w:rPr>
                <w:b/>
                <w:sz w:val="22"/>
                <w:lang w:val="es-VE"/>
              </w:rPr>
              <w:t>Aclaración y ejemplos</w:t>
            </w:r>
          </w:p>
        </w:tc>
      </w:tr>
      <w:tr w:rsidR="007271AD" w:rsidRPr="004945E1" w14:paraId="7726F772" w14:textId="77777777">
        <w:trPr>
          <w:trHeight w:val="2375"/>
        </w:trPr>
        <w:tc>
          <w:tcPr>
            <w:tcW w:w="5813" w:type="dxa"/>
          </w:tcPr>
          <w:p w14:paraId="79A70498" w14:textId="0742F4F3" w:rsidR="007271AD" w:rsidRPr="004945E1" w:rsidRDefault="00FB26D9">
            <w:pPr>
              <w:spacing w:after="160" w:line="256" w:lineRule="auto"/>
              <w:rPr>
                <w:sz w:val="22"/>
                <w:lang w:val="es-VE"/>
              </w:rPr>
            </w:pPr>
            <w:r w:rsidRPr="004945E1">
              <w:rPr>
                <w:rFonts w:cstheme="minorHAnsi"/>
                <w:sz w:val="22"/>
                <w:lang w:val="es-VE"/>
              </w:rPr>
              <w:t xml:space="preserve">Situación de vida actual </w:t>
            </w:r>
          </w:p>
        </w:tc>
        <w:tc>
          <w:tcPr>
            <w:tcW w:w="4978" w:type="dxa"/>
          </w:tcPr>
          <w:p w14:paraId="17682A44" w14:textId="633F0C85" w:rsidR="007271AD" w:rsidRPr="004945E1" w:rsidRDefault="00FB26D9">
            <w:pPr>
              <w:spacing w:after="160" w:line="256" w:lineRule="auto"/>
              <w:rPr>
                <w:i/>
                <w:sz w:val="22"/>
                <w:lang w:val="es-VE"/>
              </w:rPr>
            </w:pPr>
            <w:r w:rsidRPr="004945E1">
              <w:rPr>
                <w:i/>
                <w:sz w:val="22"/>
                <w:lang w:val="es-VE"/>
              </w:rPr>
              <w:t xml:space="preserve">Indique la situación de vivienda actual entre las siguientes opciones: </w:t>
            </w:r>
          </w:p>
          <w:p w14:paraId="04D03099" w14:textId="4B37F113" w:rsidR="007271AD" w:rsidRPr="004945E1" w:rsidRDefault="00FB26D9">
            <w:pPr>
              <w:pStyle w:val="ListParagraph"/>
              <w:numPr>
                <w:ilvl w:val="0"/>
                <w:numId w:val="25"/>
              </w:numPr>
              <w:spacing w:after="160" w:line="256" w:lineRule="auto"/>
              <w:rPr>
                <w:i/>
                <w:sz w:val="22"/>
                <w:lang w:val="es-VE"/>
              </w:rPr>
            </w:pPr>
            <w:r w:rsidRPr="004945E1">
              <w:rPr>
                <w:i/>
                <w:sz w:val="22"/>
                <w:lang w:val="es-VE"/>
              </w:rPr>
              <w:t>Lugar no destinado a la habitación humana</w:t>
            </w:r>
          </w:p>
          <w:p w14:paraId="3C2844FD" w14:textId="32930C10" w:rsidR="007271AD" w:rsidRPr="004945E1" w:rsidRDefault="00FB26D9">
            <w:pPr>
              <w:pStyle w:val="ListParagraph"/>
              <w:numPr>
                <w:ilvl w:val="0"/>
                <w:numId w:val="25"/>
              </w:numPr>
              <w:spacing w:after="160" w:line="256" w:lineRule="auto"/>
              <w:rPr>
                <w:i/>
                <w:sz w:val="22"/>
                <w:lang w:val="es-VE"/>
              </w:rPr>
            </w:pPr>
            <w:r w:rsidRPr="004945E1">
              <w:rPr>
                <w:i/>
                <w:sz w:val="22"/>
                <w:lang w:val="es-VE"/>
              </w:rPr>
              <w:t>Refugio de emergencia, incluido un hotel o motel pagado por una agencia</w:t>
            </w:r>
          </w:p>
          <w:p w14:paraId="4E42A372" w14:textId="35B6FF00" w:rsidR="007271AD" w:rsidRPr="004945E1" w:rsidRDefault="00FB26D9">
            <w:pPr>
              <w:pStyle w:val="ListParagraph"/>
              <w:numPr>
                <w:ilvl w:val="0"/>
                <w:numId w:val="25"/>
              </w:numPr>
              <w:spacing w:after="160" w:line="256" w:lineRule="auto"/>
              <w:rPr>
                <w:i/>
                <w:sz w:val="22"/>
                <w:lang w:val="es-VE"/>
              </w:rPr>
            </w:pPr>
            <w:r w:rsidRPr="004945E1">
              <w:rPr>
                <w:i/>
                <w:sz w:val="22"/>
                <w:lang w:val="es-VE"/>
              </w:rPr>
              <w:t>Safe Haven</w:t>
            </w:r>
          </w:p>
          <w:p w14:paraId="55804108" w14:textId="75CF1B1C" w:rsidR="007271AD" w:rsidRPr="004945E1" w:rsidRDefault="00FB26D9">
            <w:pPr>
              <w:pStyle w:val="ListParagraph"/>
              <w:numPr>
                <w:ilvl w:val="0"/>
                <w:numId w:val="25"/>
              </w:numPr>
              <w:spacing w:after="160" w:line="256" w:lineRule="auto"/>
              <w:rPr>
                <w:i/>
                <w:sz w:val="22"/>
                <w:lang w:val="es-VE"/>
              </w:rPr>
            </w:pPr>
            <w:r w:rsidRPr="004945E1">
              <w:rPr>
                <w:i/>
                <w:sz w:val="22"/>
                <w:lang w:val="es-VE"/>
              </w:rPr>
              <w:t>Hogar de cuidado temporal u hogar de grupo de cuidado temporal</w:t>
            </w:r>
          </w:p>
          <w:p w14:paraId="25500400" w14:textId="0CE29C04" w:rsidR="007271AD" w:rsidRPr="004945E1" w:rsidRDefault="00FB26D9">
            <w:pPr>
              <w:pStyle w:val="ListParagraph"/>
              <w:numPr>
                <w:ilvl w:val="0"/>
                <w:numId w:val="25"/>
              </w:numPr>
              <w:spacing w:after="160" w:line="256" w:lineRule="auto"/>
              <w:rPr>
                <w:i/>
                <w:sz w:val="22"/>
                <w:lang w:val="es-VE"/>
              </w:rPr>
            </w:pPr>
            <w:r w:rsidRPr="004945E1">
              <w:rPr>
                <w:i/>
                <w:sz w:val="22"/>
                <w:lang w:val="es-VE"/>
              </w:rPr>
              <w:t>Hospital u otras instalaciones médicas residenciales no psiquiátricas</w:t>
            </w:r>
          </w:p>
          <w:p w14:paraId="6C87FA33" w14:textId="6B43917B" w:rsidR="007271AD" w:rsidRPr="004945E1" w:rsidRDefault="00FB26D9">
            <w:pPr>
              <w:pStyle w:val="ListParagraph"/>
              <w:numPr>
                <w:ilvl w:val="0"/>
                <w:numId w:val="25"/>
              </w:numPr>
              <w:spacing w:after="160" w:line="256" w:lineRule="auto"/>
              <w:rPr>
                <w:i/>
                <w:sz w:val="22"/>
                <w:lang w:val="es-VE"/>
              </w:rPr>
            </w:pPr>
            <w:r w:rsidRPr="004945E1">
              <w:rPr>
                <w:i/>
                <w:sz w:val="22"/>
                <w:lang w:val="es-VE"/>
              </w:rPr>
              <w:t>Cárcel, prisión o centro de detención de menores</w:t>
            </w:r>
          </w:p>
          <w:p w14:paraId="1A30FDD8" w14:textId="0BE48FAC" w:rsidR="007271AD" w:rsidRPr="004945E1" w:rsidRDefault="00FB26D9">
            <w:pPr>
              <w:pStyle w:val="ListParagraph"/>
              <w:numPr>
                <w:ilvl w:val="0"/>
                <w:numId w:val="25"/>
              </w:numPr>
              <w:spacing w:after="160" w:line="256" w:lineRule="auto"/>
              <w:rPr>
                <w:i/>
                <w:sz w:val="22"/>
                <w:lang w:val="es-VE"/>
              </w:rPr>
            </w:pPr>
            <w:r w:rsidRPr="004945E1">
              <w:rPr>
                <w:i/>
                <w:sz w:val="22"/>
                <w:lang w:val="es-VE"/>
              </w:rPr>
              <w:t>Centro de cuidados a largo plazo o residencia para adultos mayores</w:t>
            </w:r>
          </w:p>
          <w:p w14:paraId="5A68793F" w14:textId="6C231ADA" w:rsidR="007271AD" w:rsidRPr="004945E1" w:rsidRDefault="00FB26D9">
            <w:pPr>
              <w:pStyle w:val="ListParagraph"/>
              <w:numPr>
                <w:ilvl w:val="0"/>
                <w:numId w:val="25"/>
              </w:numPr>
              <w:spacing w:after="160" w:line="256" w:lineRule="auto"/>
              <w:rPr>
                <w:i/>
                <w:sz w:val="22"/>
                <w:lang w:val="es-VE"/>
              </w:rPr>
            </w:pPr>
            <w:r w:rsidRPr="004945E1">
              <w:rPr>
                <w:i/>
                <w:sz w:val="22"/>
                <w:lang w:val="es-VE"/>
              </w:rPr>
              <w:t>Hospital psiquiátrico u otras instalaciones psiquiátricas</w:t>
            </w:r>
          </w:p>
          <w:p w14:paraId="19CA1083" w14:textId="153E482C" w:rsidR="007271AD" w:rsidRPr="004945E1" w:rsidRDefault="00FB26D9">
            <w:pPr>
              <w:pStyle w:val="ListParagraph"/>
              <w:numPr>
                <w:ilvl w:val="0"/>
                <w:numId w:val="25"/>
              </w:numPr>
              <w:spacing w:after="160" w:line="256" w:lineRule="auto"/>
              <w:rPr>
                <w:i/>
                <w:sz w:val="22"/>
                <w:lang w:val="es-VE"/>
              </w:rPr>
            </w:pPr>
            <w:r w:rsidRPr="004945E1">
              <w:rPr>
                <w:i/>
                <w:sz w:val="22"/>
                <w:lang w:val="es-VE"/>
              </w:rPr>
              <w:t>Centro de tratamiento de abuso de sustancias o centro de desintoxicación</w:t>
            </w:r>
          </w:p>
          <w:p w14:paraId="47C9A933" w14:textId="265087B1" w:rsidR="007271AD" w:rsidRPr="004945E1" w:rsidRDefault="00FB26D9">
            <w:pPr>
              <w:pStyle w:val="ListParagraph"/>
              <w:numPr>
                <w:ilvl w:val="0"/>
                <w:numId w:val="25"/>
              </w:numPr>
              <w:spacing w:after="160" w:line="256" w:lineRule="auto"/>
              <w:rPr>
                <w:i/>
                <w:sz w:val="22"/>
                <w:lang w:val="es-VE"/>
              </w:rPr>
            </w:pPr>
            <w:r w:rsidRPr="004945E1">
              <w:rPr>
                <w:i/>
                <w:sz w:val="22"/>
                <w:lang w:val="es-VE"/>
              </w:rPr>
              <w:t>Proyecto residencial o centro de reinserción social sin criterios de falta de hogar</w:t>
            </w:r>
          </w:p>
          <w:p w14:paraId="7A725BDA" w14:textId="30021A12" w:rsidR="007271AD" w:rsidRPr="004945E1" w:rsidRDefault="00FB26D9">
            <w:pPr>
              <w:pStyle w:val="ListParagraph"/>
              <w:numPr>
                <w:ilvl w:val="0"/>
                <w:numId w:val="25"/>
              </w:numPr>
              <w:spacing w:after="160" w:line="256" w:lineRule="auto"/>
              <w:rPr>
                <w:i/>
                <w:sz w:val="22"/>
                <w:lang w:val="es-VE"/>
              </w:rPr>
            </w:pPr>
            <w:r w:rsidRPr="004945E1">
              <w:rPr>
                <w:i/>
                <w:sz w:val="22"/>
                <w:lang w:val="es-VE"/>
              </w:rPr>
              <w:t>Hotel o motel pagado sin asistencia</w:t>
            </w:r>
          </w:p>
          <w:p w14:paraId="5BAEF47C" w14:textId="30AF789D" w:rsidR="007271AD" w:rsidRPr="004945E1" w:rsidRDefault="00FB26D9">
            <w:pPr>
              <w:pStyle w:val="ListParagraph"/>
              <w:numPr>
                <w:ilvl w:val="0"/>
                <w:numId w:val="25"/>
              </w:numPr>
              <w:spacing w:after="160" w:line="256" w:lineRule="auto"/>
              <w:rPr>
                <w:i/>
                <w:sz w:val="22"/>
                <w:lang w:val="es-VE"/>
              </w:rPr>
            </w:pPr>
            <w:r w:rsidRPr="004945E1">
              <w:rPr>
                <w:i/>
                <w:sz w:val="22"/>
                <w:lang w:val="es-VE"/>
              </w:rPr>
              <w:t>Vivienda de transición</w:t>
            </w:r>
          </w:p>
          <w:p w14:paraId="56B2F859" w14:textId="0F424763" w:rsidR="007271AD" w:rsidRPr="004945E1" w:rsidRDefault="00FB26D9">
            <w:pPr>
              <w:pStyle w:val="ListParagraph"/>
              <w:numPr>
                <w:ilvl w:val="0"/>
                <w:numId w:val="25"/>
              </w:numPr>
              <w:spacing w:after="160" w:line="256" w:lineRule="auto"/>
              <w:rPr>
                <w:i/>
                <w:sz w:val="22"/>
                <w:lang w:val="es-VE"/>
              </w:rPr>
            </w:pPr>
            <w:r w:rsidRPr="004945E1">
              <w:rPr>
                <w:i/>
                <w:sz w:val="22"/>
                <w:lang w:val="es-VE"/>
              </w:rPr>
              <w:t>Casas de acogida</w:t>
            </w:r>
          </w:p>
          <w:p w14:paraId="7CB94A19" w14:textId="5C6C404E" w:rsidR="007271AD" w:rsidRPr="004945E1" w:rsidRDefault="00FB26D9">
            <w:pPr>
              <w:pStyle w:val="ListParagraph"/>
              <w:numPr>
                <w:ilvl w:val="0"/>
                <w:numId w:val="25"/>
              </w:numPr>
              <w:spacing w:after="160" w:line="256" w:lineRule="auto"/>
              <w:rPr>
                <w:i/>
                <w:sz w:val="22"/>
                <w:lang w:val="es-VE"/>
              </w:rPr>
            </w:pPr>
            <w:r w:rsidRPr="004945E1">
              <w:rPr>
                <w:i/>
                <w:sz w:val="22"/>
                <w:lang w:val="es-VE"/>
              </w:rPr>
              <w:t>Se aloja o vive en la habitación, el apartamento o la casa de un amigo</w:t>
            </w:r>
          </w:p>
          <w:p w14:paraId="3FEBEA65" w14:textId="485750AD" w:rsidR="007271AD" w:rsidRPr="004945E1" w:rsidRDefault="00FB26D9">
            <w:pPr>
              <w:pStyle w:val="ListParagraph"/>
              <w:numPr>
                <w:ilvl w:val="0"/>
                <w:numId w:val="25"/>
              </w:numPr>
              <w:spacing w:after="160" w:line="256" w:lineRule="auto"/>
              <w:rPr>
                <w:i/>
                <w:sz w:val="22"/>
                <w:lang w:val="es-VE"/>
              </w:rPr>
            </w:pPr>
            <w:r w:rsidRPr="004945E1">
              <w:rPr>
                <w:i/>
                <w:sz w:val="22"/>
                <w:lang w:val="es-VE"/>
              </w:rPr>
              <w:t xml:space="preserve">Se aloja o vive en la habitación, el apartamento o la casa de un familiar </w:t>
            </w:r>
          </w:p>
          <w:p w14:paraId="58BEDC3B" w14:textId="3F8232FC" w:rsidR="007271AD" w:rsidRPr="004945E1" w:rsidRDefault="00FB26D9">
            <w:pPr>
              <w:pStyle w:val="ListParagraph"/>
              <w:numPr>
                <w:ilvl w:val="0"/>
                <w:numId w:val="25"/>
              </w:numPr>
              <w:spacing w:after="160" w:line="256" w:lineRule="auto"/>
              <w:rPr>
                <w:i/>
                <w:sz w:val="22"/>
                <w:lang w:val="es-VE"/>
              </w:rPr>
            </w:pPr>
            <w:r w:rsidRPr="004945E1">
              <w:rPr>
                <w:i/>
                <w:sz w:val="22"/>
                <w:lang w:val="es-VE"/>
              </w:rPr>
              <w:t>Alquilado por cliente con subsidio habitacional GPD TIP</w:t>
            </w:r>
          </w:p>
          <w:p w14:paraId="00EABB54" w14:textId="4ACF5015" w:rsidR="007271AD" w:rsidRPr="004945E1" w:rsidRDefault="00FB26D9">
            <w:pPr>
              <w:pStyle w:val="ListParagraph"/>
              <w:numPr>
                <w:ilvl w:val="0"/>
                <w:numId w:val="25"/>
              </w:numPr>
              <w:spacing w:after="160" w:line="256" w:lineRule="auto"/>
              <w:rPr>
                <w:i/>
                <w:sz w:val="22"/>
                <w:lang w:val="es-VE"/>
              </w:rPr>
            </w:pPr>
            <w:r w:rsidRPr="004945E1">
              <w:rPr>
                <w:i/>
                <w:sz w:val="22"/>
                <w:lang w:val="es-VE"/>
              </w:rPr>
              <w:t>Alquilado por cliente con subsidio de vivienda VASH</w:t>
            </w:r>
          </w:p>
          <w:p w14:paraId="0E401803" w14:textId="15DF5C3D" w:rsidR="007271AD" w:rsidRPr="004945E1" w:rsidRDefault="00FB26D9">
            <w:pPr>
              <w:pStyle w:val="ListParagraph"/>
              <w:numPr>
                <w:ilvl w:val="0"/>
                <w:numId w:val="25"/>
              </w:numPr>
              <w:spacing w:after="160" w:line="256" w:lineRule="auto"/>
              <w:rPr>
                <w:i/>
                <w:sz w:val="22"/>
                <w:lang w:val="es-VE"/>
              </w:rPr>
            </w:pPr>
            <w:r w:rsidRPr="004945E1">
              <w:rPr>
                <w:i/>
                <w:sz w:val="22"/>
                <w:lang w:val="es-VE"/>
              </w:rPr>
              <w:t>Vivienda permanente (que no sea RRH) para personas que antes no tenían hogar</w:t>
            </w:r>
          </w:p>
          <w:p w14:paraId="34E240F1" w14:textId="7939D756" w:rsidR="007271AD" w:rsidRPr="004945E1" w:rsidRDefault="00FB26D9">
            <w:pPr>
              <w:pStyle w:val="ListParagraph"/>
              <w:numPr>
                <w:ilvl w:val="0"/>
                <w:numId w:val="25"/>
              </w:numPr>
              <w:spacing w:after="160" w:line="256" w:lineRule="auto"/>
              <w:rPr>
                <w:i/>
                <w:sz w:val="22"/>
                <w:lang w:val="es-VE"/>
              </w:rPr>
            </w:pPr>
            <w:r w:rsidRPr="004945E1">
              <w:rPr>
                <w:i/>
                <w:sz w:val="22"/>
                <w:lang w:val="es-VE"/>
              </w:rPr>
              <w:t xml:space="preserve">Alquilado por cliente con RRH o subvención equivalente </w:t>
            </w:r>
          </w:p>
          <w:p w14:paraId="3B070616" w14:textId="3D9E83C4" w:rsidR="007271AD" w:rsidRPr="004945E1" w:rsidRDefault="00FB26D9">
            <w:pPr>
              <w:pStyle w:val="ListParagraph"/>
              <w:numPr>
                <w:ilvl w:val="0"/>
                <w:numId w:val="25"/>
              </w:numPr>
              <w:spacing w:after="160" w:line="256" w:lineRule="auto"/>
              <w:rPr>
                <w:i/>
                <w:sz w:val="22"/>
                <w:lang w:val="es-VE"/>
              </w:rPr>
            </w:pPr>
            <w:r w:rsidRPr="004945E1">
              <w:rPr>
                <w:i/>
                <w:sz w:val="22"/>
                <w:lang w:val="es-VE"/>
              </w:rPr>
              <w:lastRenderedPageBreak/>
              <w:t>Alquilado por cliente con bono HCV (inquilino o por proyecto)</w:t>
            </w:r>
          </w:p>
          <w:p w14:paraId="0531DB49" w14:textId="521CB067" w:rsidR="007271AD" w:rsidRPr="004945E1" w:rsidRDefault="00FB26D9">
            <w:pPr>
              <w:pStyle w:val="ListParagraph"/>
              <w:numPr>
                <w:ilvl w:val="0"/>
                <w:numId w:val="25"/>
              </w:numPr>
              <w:spacing w:after="160" w:line="256" w:lineRule="auto"/>
              <w:rPr>
                <w:i/>
                <w:sz w:val="22"/>
                <w:lang w:val="es-VE"/>
              </w:rPr>
            </w:pPr>
            <w:r w:rsidRPr="004945E1">
              <w:rPr>
                <w:i/>
                <w:sz w:val="22"/>
                <w:lang w:val="es-VE"/>
              </w:rPr>
              <w:t>Alquilado por cliente en una unidad de vivienda pública</w:t>
            </w:r>
          </w:p>
          <w:p w14:paraId="31A82FF8" w14:textId="756E9888" w:rsidR="007271AD" w:rsidRPr="004945E1" w:rsidRDefault="00FB26D9">
            <w:pPr>
              <w:pStyle w:val="ListParagraph"/>
              <w:numPr>
                <w:ilvl w:val="0"/>
                <w:numId w:val="25"/>
              </w:numPr>
              <w:spacing w:after="160" w:line="256" w:lineRule="auto"/>
              <w:rPr>
                <w:i/>
                <w:sz w:val="22"/>
                <w:lang w:val="es-VE"/>
              </w:rPr>
            </w:pPr>
            <w:r w:rsidRPr="004945E1">
              <w:rPr>
                <w:i/>
                <w:sz w:val="22"/>
                <w:lang w:val="es-VE"/>
              </w:rPr>
              <w:t>Alquilado por cliente sin subvención regular alguna del gobierno</w:t>
            </w:r>
          </w:p>
          <w:p w14:paraId="2EDE811C" w14:textId="5A9FCD96" w:rsidR="007271AD" w:rsidRPr="004945E1" w:rsidRDefault="00FB26D9">
            <w:pPr>
              <w:pStyle w:val="ListParagraph"/>
              <w:numPr>
                <w:ilvl w:val="0"/>
                <w:numId w:val="25"/>
              </w:numPr>
              <w:spacing w:after="160" w:line="256" w:lineRule="auto"/>
              <w:rPr>
                <w:i/>
                <w:sz w:val="22"/>
                <w:lang w:val="es-VE"/>
              </w:rPr>
            </w:pPr>
            <w:r w:rsidRPr="004945E1">
              <w:rPr>
                <w:i/>
                <w:sz w:val="22"/>
                <w:lang w:val="es-VE"/>
              </w:rPr>
              <w:t>Alquilado por cliente con otra subvención en curso</w:t>
            </w:r>
          </w:p>
          <w:p w14:paraId="35FEFB75" w14:textId="267CA6E4" w:rsidR="007271AD" w:rsidRPr="004945E1" w:rsidRDefault="00FB26D9">
            <w:pPr>
              <w:pStyle w:val="ListParagraph"/>
              <w:numPr>
                <w:ilvl w:val="0"/>
                <w:numId w:val="25"/>
              </w:numPr>
              <w:spacing w:after="160" w:line="256" w:lineRule="auto"/>
              <w:rPr>
                <w:i/>
                <w:sz w:val="22"/>
                <w:lang w:val="es-VE"/>
              </w:rPr>
            </w:pPr>
            <w:r w:rsidRPr="004945E1">
              <w:rPr>
                <w:i/>
                <w:sz w:val="22"/>
                <w:lang w:val="es-VE"/>
              </w:rPr>
              <w:t>Propiedad del cliente con subvención regular del gobierno</w:t>
            </w:r>
          </w:p>
          <w:p w14:paraId="171B4F13" w14:textId="6A8E6A40" w:rsidR="007271AD" w:rsidRPr="004945E1" w:rsidRDefault="00FB26D9">
            <w:pPr>
              <w:pStyle w:val="ListParagraph"/>
              <w:numPr>
                <w:ilvl w:val="0"/>
                <w:numId w:val="25"/>
              </w:numPr>
              <w:spacing w:after="160" w:line="256" w:lineRule="auto"/>
              <w:rPr>
                <w:i/>
                <w:sz w:val="22"/>
                <w:lang w:val="es-VE"/>
              </w:rPr>
            </w:pPr>
            <w:r w:rsidRPr="004945E1">
              <w:rPr>
                <w:i/>
                <w:sz w:val="22"/>
                <w:lang w:val="es-VE"/>
              </w:rPr>
              <w:t>Propiedad del cliente sin subvención regular alguna de vivienda</w:t>
            </w:r>
          </w:p>
          <w:p w14:paraId="06D545B4" w14:textId="29D4093F" w:rsidR="007271AD" w:rsidRPr="004945E1" w:rsidRDefault="00FB26D9">
            <w:pPr>
              <w:pStyle w:val="ListParagraph"/>
              <w:numPr>
                <w:ilvl w:val="0"/>
                <w:numId w:val="25"/>
              </w:numPr>
              <w:spacing w:after="160" w:line="256" w:lineRule="auto"/>
              <w:rPr>
                <w:i/>
                <w:sz w:val="22"/>
                <w:lang w:val="es-VE"/>
              </w:rPr>
            </w:pPr>
            <w:r w:rsidRPr="004945E1">
              <w:rPr>
                <w:i/>
                <w:sz w:val="22"/>
                <w:lang w:val="es-VE"/>
              </w:rPr>
              <w:t>Otro</w:t>
            </w:r>
          </w:p>
          <w:p w14:paraId="3C4A4DDA" w14:textId="03502BBA" w:rsidR="007271AD" w:rsidRPr="004945E1" w:rsidRDefault="00FB26D9">
            <w:pPr>
              <w:pStyle w:val="ListParagraph"/>
              <w:numPr>
                <w:ilvl w:val="0"/>
                <w:numId w:val="25"/>
              </w:numPr>
              <w:spacing w:after="160" w:line="256" w:lineRule="auto"/>
              <w:rPr>
                <w:i/>
                <w:sz w:val="22"/>
                <w:lang w:val="es-VE"/>
              </w:rPr>
            </w:pPr>
            <w:r w:rsidRPr="004945E1">
              <w:rPr>
                <w:i/>
                <w:sz w:val="22"/>
                <w:lang w:val="es-VE"/>
              </w:rPr>
              <w:t>El trabajador no puede determinar</w:t>
            </w:r>
          </w:p>
          <w:p w14:paraId="35AA2802" w14:textId="54E30A47" w:rsidR="007271AD" w:rsidRPr="004945E1" w:rsidRDefault="00FB26D9">
            <w:pPr>
              <w:pStyle w:val="ListParagraph"/>
              <w:numPr>
                <w:ilvl w:val="0"/>
                <w:numId w:val="25"/>
              </w:numPr>
              <w:spacing w:after="160" w:line="256" w:lineRule="auto"/>
              <w:rPr>
                <w:i/>
                <w:sz w:val="22"/>
                <w:lang w:val="es-VE"/>
              </w:rPr>
            </w:pPr>
            <w:r w:rsidRPr="004945E1">
              <w:rPr>
                <w:i/>
                <w:sz w:val="22"/>
                <w:lang w:val="es-VE"/>
              </w:rPr>
              <w:t>El cliente no sabe</w:t>
            </w:r>
          </w:p>
          <w:p w14:paraId="608FF166" w14:textId="6377FAA7" w:rsidR="007271AD" w:rsidRPr="004945E1" w:rsidRDefault="00FB26D9">
            <w:pPr>
              <w:pStyle w:val="ListParagraph"/>
              <w:numPr>
                <w:ilvl w:val="0"/>
                <w:numId w:val="25"/>
              </w:numPr>
              <w:spacing w:after="160" w:line="256" w:lineRule="auto"/>
              <w:rPr>
                <w:i/>
                <w:sz w:val="22"/>
                <w:lang w:val="es-VE"/>
              </w:rPr>
            </w:pPr>
            <w:r w:rsidRPr="004945E1">
              <w:rPr>
                <w:i/>
                <w:sz w:val="22"/>
                <w:lang w:val="es-VE"/>
              </w:rPr>
              <w:t>El cliente se rehusó</w:t>
            </w:r>
          </w:p>
          <w:p w14:paraId="122A2DAD" w14:textId="62FEC56E" w:rsidR="007271AD" w:rsidRPr="004945E1" w:rsidRDefault="00FB26D9">
            <w:pPr>
              <w:spacing w:after="160" w:line="256" w:lineRule="auto"/>
              <w:rPr>
                <w:i/>
                <w:sz w:val="22"/>
                <w:lang w:val="es-VE"/>
              </w:rPr>
            </w:pPr>
            <w:r w:rsidRPr="004945E1">
              <w:rPr>
                <w:i/>
                <w:sz w:val="20"/>
                <w:lang w:val="es-VE"/>
              </w:rPr>
              <w:t xml:space="preserve">*Si no tiene una cuenta </w:t>
            </w:r>
            <w:r w:rsidR="00505555" w:rsidRPr="004945E1">
              <w:rPr>
                <w:i/>
                <w:sz w:val="20"/>
                <w:lang w:val="es-VE"/>
              </w:rPr>
              <w:t xml:space="preserve">del </w:t>
            </w:r>
            <w:r w:rsidRPr="004945E1">
              <w:rPr>
                <w:i/>
                <w:sz w:val="20"/>
                <w:lang w:val="es-VE"/>
              </w:rPr>
              <w:t>HMIS, informe al personal de CoC si la persona dejará la situación actual dentro de los 14 días</w:t>
            </w:r>
          </w:p>
        </w:tc>
      </w:tr>
      <w:tr w:rsidR="007271AD" w:rsidRPr="004945E1" w14:paraId="79E7A21F" w14:textId="77777777">
        <w:tc>
          <w:tcPr>
            <w:tcW w:w="5813" w:type="dxa"/>
          </w:tcPr>
          <w:p w14:paraId="2CEFDA0F" w14:textId="083B2085" w:rsidR="007271AD" w:rsidRPr="004945E1" w:rsidRDefault="00FB26D9">
            <w:pPr>
              <w:spacing w:after="160" w:line="256" w:lineRule="auto"/>
              <w:rPr>
                <w:sz w:val="22"/>
                <w:lang w:val="es-VE"/>
              </w:rPr>
            </w:pPr>
            <w:r w:rsidRPr="004945E1">
              <w:rPr>
                <w:sz w:val="22"/>
                <w:lang w:val="es-VE"/>
              </w:rPr>
              <w:lastRenderedPageBreak/>
              <w:t>Ubicación actual del cliente</w:t>
            </w:r>
          </w:p>
          <w:p w14:paraId="088D3EDB" w14:textId="77777777" w:rsidR="007271AD" w:rsidRPr="004945E1" w:rsidRDefault="007271AD">
            <w:pPr>
              <w:spacing w:after="160" w:line="256" w:lineRule="auto"/>
              <w:rPr>
                <w:b/>
                <w:sz w:val="22"/>
                <w:lang w:val="es-VE"/>
              </w:rPr>
            </w:pPr>
          </w:p>
        </w:tc>
        <w:tc>
          <w:tcPr>
            <w:tcW w:w="4978" w:type="dxa"/>
          </w:tcPr>
          <w:p w14:paraId="2DB0FD06" w14:textId="7203BA07" w:rsidR="007271AD" w:rsidRPr="004945E1" w:rsidRDefault="00FB26D9">
            <w:pPr>
              <w:spacing w:after="160" w:line="256" w:lineRule="auto"/>
              <w:rPr>
                <w:sz w:val="22"/>
                <w:lang w:val="es-VE"/>
              </w:rPr>
            </w:pPr>
            <w:r w:rsidRPr="004945E1">
              <w:rPr>
                <w:sz w:val="22"/>
                <w:lang w:val="es-VE"/>
              </w:rPr>
              <w:t xml:space="preserve">Este es un campo abierto. Describa la ubicación actual de la persona. </w:t>
            </w:r>
          </w:p>
        </w:tc>
      </w:tr>
      <w:tr w:rsidR="007271AD" w:rsidRPr="004945E1" w14:paraId="0F775DCA" w14:textId="77777777">
        <w:tc>
          <w:tcPr>
            <w:tcW w:w="5813" w:type="dxa"/>
          </w:tcPr>
          <w:p w14:paraId="46438263" w14:textId="5047B69D" w:rsidR="007271AD" w:rsidRPr="004945E1" w:rsidRDefault="00FB26D9">
            <w:pPr>
              <w:rPr>
                <w:sz w:val="22"/>
                <w:lang w:val="es-VE"/>
              </w:rPr>
            </w:pPr>
            <w:r w:rsidRPr="004945E1">
              <w:rPr>
                <w:sz w:val="22"/>
                <w:lang w:val="es-VE"/>
              </w:rPr>
              <w:t>Situación de vida anterior: tipo de residencia</w:t>
            </w:r>
          </w:p>
        </w:tc>
        <w:tc>
          <w:tcPr>
            <w:tcW w:w="4978" w:type="dxa"/>
          </w:tcPr>
          <w:p w14:paraId="5E70B9A5" w14:textId="65FB5A12" w:rsidR="007271AD" w:rsidRPr="004945E1" w:rsidRDefault="00FB26D9">
            <w:pPr>
              <w:spacing w:after="160" w:line="256" w:lineRule="auto"/>
              <w:rPr>
                <w:i/>
                <w:sz w:val="22"/>
                <w:lang w:val="es-VE"/>
              </w:rPr>
            </w:pPr>
            <w:r w:rsidRPr="004945E1">
              <w:rPr>
                <w:i/>
                <w:sz w:val="22"/>
                <w:lang w:val="es-VE"/>
              </w:rPr>
              <w:t xml:space="preserve">Esta pregunta se refiere a la situación de vivienda la noche anterior a la fecha en que se realizó la evaluación. Indique la situación de vivienda anterior de las siguientes opciones: </w:t>
            </w:r>
          </w:p>
          <w:p w14:paraId="258EC962" w14:textId="77777777" w:rsidR="007271AD" w:rsidRPr="004945E1" w:rsidRDefault="00FB26D9">
            <w:pPr>
              <w:pStyle w:val="ListParagraph"/>
              <w:numPr>
                <w:ilvl w:val="0"/>
                <w:numId w:val="25"/>
              </w:numPr>
              <w:spacing w:after="160" w:line="256" w:lineRule="auto"/>
              <w:rPr>
                <w:i/>
                <w:sz w:val="22"/>
                <w:lang w:val="es-VE"/>
              </w:rPr>
            </w:pPr>
            <w:r w:rsidRPr="004945E1">
              <w:rPr>
                <w:i/>
                <w:sz w:val="22"/>
                <w:lang w:val="es-VE"/>
              </w:rPr>
              <w:t>Lugar no destinado a la habitación humana</w:t>
            </w:r>
          </w:p>
          <w:p w14:paraId="71D0714A" w14:textId="77777777" w:rsidR="007271AD" w:rsidRPr="004945E1" w:rsidRDefault="00FB26D9">
            <w:pPr>
              <w:pStyle w:val="ListParagraph"/>
              <w:numPr>
                <w:ilvl w:val="0"/>
                <w:numId w:val="25"/>
              </w:numPr>
              <w:spacing w:after="160" w:line="256" w:lineRule="auto"/>
              <w:rPr>
                <w:i/>
                <w:sz w:val="22"/>
                <w:lang w:val="es-VE"/>
              </w:rPr>
            </w:pPr>
            <w:r w:rsidRPr="004945E1">
              <w:rPr>
                <w:i/>
                <w:sz w:val="22"/>
                <w:lang w:val="es-VE"/>
              </w:rPr>
              <w:t>Refugio de emergencia, incluido un hotel o motel pagado por una agencia</w:t>
            </w:r>
          </w:p>
          <w:p w14:paraId="64972907" w14:textId="77777777" w:rsidR="007271AD" w:rsidRPr="004945E1" w:rsidRDefault="00FB26D9">
            <w:pPr>
              <w:pStyle w:val="ListParagraph"/>
              <w:numPr>
                <w:ilvl w:val="0"/>
                <w:numId w:val="25"/>
              </w:numPr>
              <w:spacing w:after="160" w:line="256" w:lineRule="auto"/>
              <w:rPr>
                <w:i/>
                <w:sz w:val="22"/>
                <w:lang w:val="es-VE"/>
              </w:rPr>
            </w:pPr>
            <w:r w:rsidRPr="004945E1">
              <w:rPr>
                <w:i/>
                <w:sz w:val="22"/>
                <w:lang w:val="es-VE"/>
              </w:rPr>
              <w:t>Safe Haven</w:t>
            </w:r>
          </w:p>
          <w:p w14:paraId="160DE935" w14:textId="77777777" w:rsidR="007271AD" w:rsidRPr="004945E1" w:rsidRDefault="00FB26D9">
            <w:pPr>
              <w:pStyle w:val="ListParagraph"/>
              <w:numPr>
                <w:ilvl w:val="0"/>
                <w:numId w:val="25"/>
              </w:numPr>
              <w:spacing w:after="160" w:line="256" w:lineRule="auto"/>
              <w:rPr>
                <w:i/>
                <w:sz w:val="22"/>
                <w:lang w:val="es-VE"/>
              </w:rPr>
            </w:pPr>
            <w:r w:rsidRPr="004945E1">
              <w:rPr>
                <w:i/>
                <w:sz w:val="22"/>
                <w:lang w:val="es-VE"/>
              </w:rPr>
              <w:t>Hogar de cuidado temporal u hogar de grupo de cuidado temporal</w:t>
            </w:r>
          </w:p>
          <w:p w14:paraId="2EB84CCE" w14:textId="77777777" w:rsidR="007271AD" w:rsidRPr="004945E1" w:rsidRDefault="00FB26D9">
            <w:pPr>
              <w:pStyle w:val="ListParagraph"/>
              <w:numPr>
                <w:ilvl w:val="0"/>
                <w:numId w:val="25"/>
              </w:numPr>
              <w:spacing w:after="160" w:line="256" w:lineRule="auto"/>
              <w:rPr>
                <w:i/>
                <w:sz w:val="22"/>
                <w:lang w:val="es-VE"/>
              </w:rPr>
            </w:pPr>
            <w:r w:rsidRPr="004945E1">
              <w:rPr>
                <w:i/>
                <w:sz w:val="22"/>
                <w:lang w:val="es-VE"/>
              </w:rPr>
              <w:t>Hospital u otras instalaciones médicas residenciales no psiquiátricas</w:t>
            </w:r>
          </w:p>
          <w:p w14:paraId="6F67374D" w14:textId="77777777" w:rsidR="007271AD" w:rsidRPr="004945E1" w:rsidRDefault="00FB26D9">
            <w:pPr>
              <w:pStyle w:val="ListParagraph"/>
              <w:numPr>
                <w:ilvl w:val="0"/>
                <w:numId w:val="25"/>
              </w:numPr>
              <w:spacing w:after="160" w:line="256" w:lineRule="auto"/>
              <w:rPr>
                <w:i/>
                <w:sz w:val="22"/>
                <w:lang w:val="es-VE"/>
              </w:rPr>
            </w:pPr>
            <w:r w:rsidRPr="004945E1">
              <w:rPr>
                <w:i/>
                <w:sz w:val="22"/>
                <w:lang w:val="es-VE"/>
              </w:rPr>
              <w:t>Cárcel, prisión o centro de detención de menores</w:t>
            </w:r>
          </w:p>
          <w:p w14:paraId="65C17537" w14:textId="77777777" w:rsidR="007271AD" w:rsidRPr="004945E1" w:rsidRDefault="00FB26D9">
            <w:pPr>
              <w:pStyle w:val="ListParagraph"/>
              <w:numPr>
                <w:ilvl w:val="0"/>
                <w:numId w:val="25"/>
              </w:numPr>
              <w:spacing w:after="160" w:line="256" w:lineRule="auto"/>
              <w:rPr>
                <w:i/>
                <w:sz w:val="22"/>
                <w:lang w:val="es-VE"/>
              </w:rPr>
            </w:pPr>
            <w:r w:rsidRPr="004945E1">
              <w:rPr>
                <w:i/>
                <w:sz w:val="22"/>
                <w:lang w:val="es-VE"/>
              </w:rPr>
              <w:t>Centro de cuidados a largo plazo o residencia para adultos mayores</w:t>
            </w:r>
          </w:p>
          <w:p w14:paraId="49BA9CB7" w14:textId="77777777" w:rsidR="007271AD" w:rsidRPr="004945E1" w:rsidRDefault="00FB26D9">
            <w:pPr>
              <w:pStyle w:val="ListParagraph"/>
              <w:numPr>
                <w:ilvl w:val="0"/>
                <w:numId w:val="25"/>
              </w:numPr>
              <w:spacing w:after="160" w:line="256" w:lineRule="auto"/>
              <w:rPr>
                <w:i/>
                <w:sz w:val="22"/>
                <w:lang w:val="es-VE"/>
              </w:rPr>
            </w:pPr>
            <w:r w:rsidRPr="004945E1">
              <w:rPr>
                <w:i/>
                <w:sz w:val="22"/>
                <w:lang w:val="es-VE"/>
              </w:rPr>
              <w:t>Hospital psiquiátrico u otras instalaciones psiquiátricas</w:t>
            </w:r>
          </w:p>
          <w:p w14:paraId="171AFB3D" w14:textId="77777777" w:rsidR="007271AD" w:rsidRPr="004945E1" w:rsidRDefault="00FB26D9">
            <w:pPr>
              <w:pStyle w:val="ListParagraph"/>
              <w:numPr>
                <w:ilvl w:val="0"/>
                <w:numId w:val="25"/>
              </w:numPr>
              <w:spacing w:after="160" w:line="256" w:lineRule="auto"/>
              <w:rPr>
                <w:i/>
                <w:sz w:val="22"/>
                <w:lang w:val="es-VE"/>
              </w:rPr>
            </w:pPr>
            <w:r w:rsidRPr="004945E1">
              <w:rPr>
                <w:i/>
                <w:sz w:val="22"/>
                <w:lang w:val="es-VE"/>
              </w:rPr>
              <w:t>Centro de tratamiento de abuso de sustancias o centro de desintoxicación</w:t>
            </w:r>
          </w:p>
          <w:p w14:paraId="01251613" w14:textId="77777777" w:rsidR="007271AD" w:rsidRPr="004945E1" w:rsidRDefault="00FB26D9">
            <w:pPr>
              <w:pStyle w:val="ListParagraph"/>
              <w:numPr>
                <w:ilvl w:val="0"/>
                <w:numId w:val="25"/>
              </w:numPr>
              <w:spacing w:after="160" w:line="256" w:lineRule="auto"/>
              <w:rPr>
                <w:i/>
                <w:sz w:val="22"/>
                <w:lang w:val="es-VE"/>
              </w:rPr>
            </w:pPr>
            <w:r w:rsidRPr="004945E1">
              <w:rPr>
                <w:i/>
                <w:sz w:val="22"/>
                <w:lang w:val="es-VE"/>
              </w:rPr>
              <w:t>Proyecto residencial o centro de reinserción social sin criterios de falta de hogar</w:t>
            </w:r>
          </w:p>
          <w:p w14:paraId="06CC9240" w14:textId="77777777" w:rsidR="007271AD" w:rsidRPr="004945E1" w:rsidRDefault="00FB26D9">
            <w:pPr>
              <w:pStyle w:val="ListParagraph"/>
              <w:numPr>
                <w:ilvl w:val="0"/>
                <w:numId w:val="25"/>
              </w:numPr>
              <w:spacing w:after="160" w:line="256" w:lineRule="auto"/>
              <w:rPr>
                <w:i/>
                <w:sz w:val="22"/>
                <w:lang w:val="es-VE"/>
              </w:rPr>
            </w:pPr>
            <w:r w:rsidRPr="004945E1">
              <w:rPr>
                <w:i/>
                <w:sz w:val="22"/>
                <w:lang w:val="es-VE"/>
              </w:rPr>
              <w:t>Hotel o motel pagado sin asistencia</w:t>
            </w:r>
          </w:p>
          <w:p w14:paraId="71134F54" w14:textId="77777777" w:rsidR="007271AD" w:rsidRPr="004945E1" w:rsidRDefault="00FB26D9">
            <w:pPr>
              <w:pStyle w:val="ListParagraph"/>
              <w:numPr>
                <w:ilvl w:val="0"/>
                <w:numId w:val="25"/>
              </w:numPr>
              <w:spacing w:after="160" w:line="256" w:lineRule="auto"/>
              <w:rPr>
                <w:i/>
                <w:sz w:val="22"/>
                <w:lang w:val="es-VE"/>
              </w:rPr>
            </w:pPr>
            <w:r w:rsidRPr="004945E1">
              <w:rPr>
                <w:i/>
                <w:sz w:val="22"/>
                <w:lang w:val="es-VE"/>
              </w:rPr>
              <w:lastRenderedPageBreak/>
              <w:t>Vivienda de transición</w:t>
            </w:r>
          </w:p>
          <w:p w14:paraId="0CD74A0F" w14:textId="77777777" w:rsidR="007271AD" w:rsidRPr="004945E1" w:rsidRDefault="00FB26D9">
            <w:pPr>
              <w:pStyle w:val="ListParagraph"/>
              <w:numPr>
                <w:ilvl w:val="0"/>
                <w:numId w:val="25"/>
              </w:numPr>
              <w:spacing w:after="160" w:line="256" w:lineRule="auto"/>
              <w:rPr>
                <w:i/>
                <w:sz w:val="22"/>
                <w:lang w:val="es-VE"/>
              </w:rPr>
            </w:pPr>
            <w:r w:rsidRPr="004945E1">
              <w:rPr>
                <w:i/>
                <w:sz w:val="22"/>
                <w:lang w:val="es-VE"/>
              </w:rPr>
              <w:t>Casas de acogida</w:t>
            </w:r>
          </w:p>
          <w:p w14:paraId="3A40D8F9" w14:textId="77777777" w:rsidR="007271AD" w:rsidRPr="004945E1" w:rsidRDefault="00FB26D9">
            <w:pPr>
              <w:pStyle w:val="ListParagraph"/>
              <w:numPr>
                <w:ilvl w:val="0"/>
                <w:numId w:val="25"/>
              </w:numPr>
              <w:spacing w:after="160" w:line="256" w:lineRule="auto"/>
              <w:rPr>
                <w:i/>
                <w:sz w:val="22"/>
                <w:lang w:val="es-VE"/>
              </w:rPr>
            </w:pPr>
            <w:r w:rsidRPr="004945E1">
              <w:rPr>
                <w:i/>
                <w:sz w:val="22"/>
                <w:lang w:val="es-VE"/>
              </w:rPr>
              <w:t>Se aloja o vive en la habitación, el apartamento o la casa de un amigo</w:t>
            </w:r>
          </w:p>
          <w:p w14:paraId="64D092C9" w14:textId="77777777" w:rsidR="007271AD" w:rsidRPr="004945E1" w:rsidRDefault="00FB26D9">
            <w:pPr>
              <w:pStyle w:val="ListParagraph"/>
              <w:numPr>
                <w:ilvl w:val="0"/>
                <w:numId w:val="25"/>
              </w:numPr>
              <w:spacing w:after="160" w:line="256" w:lineRule="auto"/>
              <w:rPr>
                <w:i/>
                <w:sz w:val="22"/>
                <w:lang w:val="es-VE"/>
              </w:rPr>
            </w:pPr>
            <w:r w:rsidRPr="004945E1">
              <w:rPr>
                <w:i/>
                <w:sz w:val="22"/>
                <w:lang w:val="es-VE"/>
              </w:rPr>
              <w:t xml:space="preserve">Se aloja o vive en la habitación, el apartamento o la casa de un familiar </w:t>
            </w:r>
          </w:p>
          <w:p w14:paraId="309C0A0E" w14:textId="77777777" w:rsidR="007271AD" w:rsidRPr="004945E1" w:rsidRDefault="00FB26D9">
            <w:pPr>
              <w:pStyle w:val="ListParagraph"/>
              <w:numPr>
                <w:ilvl w:val="0"/>
                <w:numId w:val="25"/>
              </w:numPr>
              <w:spacing w:after="160" w:line="256" w:lineRule="auto"/>
              <w:rPr>
                <w:i/>
                <w:sz w:val="22"/>
                <w:lang w:val="es-VE"/>
              </w:rPr>
            </w:pPr>
            <w:r w:rsidRPr="004945E1">
              <w:rPr>
                <w:i/>
                <w:sz w:val="22"/>
                <w:lang w:val="es-VE"/>
              </w:rPr>
              <w:t>Alquilado por cliente con subsidio habitacional GPD TIP</w:t>
            </w:r>
          </w:p>
          <w:p w14:paraId="6D3A772D" w14:textId="77777777" w:rsidR="007271AD" w:rsidRPr="004945E1" w:rsidRDefault="00FB26D9">
            <w:pPr>
              <w:pStyle w:val="ListParagraph"/>
              <w:numPr>
                <w:ilvl w:val="0"/>
                <w:numId w:val="25"/>
              </w:numPr>
              <w:spacing w:after="160" w:line="256" w:lineRule="auto"/>
              <w:rPr>
                <w:i/>
                <w:sz w:val="22"/>
                <w:lang w:val="es-VE"/>
              </w:rPr>
            </w:pPr>
            <w:r w:rsidRPr="004945E1">
              <w:rPr>
                <w:i/>
                <w:sz w:val="22"/>
                <w:lang w:val="es-VE"/>
              </w:rPr>
              <w:t>Alquilado por cliente con subsidio de vivienda VASH</w:t>
            </w:r>
          </w:p>
          <w:p w14:paraId="76FAED1C" w14:textId="77777777" w:rsidR="007271AD" w:rsidRPr="004945E1" w:rsidRDefault="00FB26D9">
            <w:pPr>
              <w:pStyle w:val="ListParagraph"/>
              <w:numPr>
                <w:ilvl w:val="0"/>
                <w:numId w:val="25"/>
              </w:numPr>
              <w:spacing w:after="160" w:line="256" w:lineRule="auto"/>
              <w:rPr>
                <w:i/>
                <w:sz w:val="22"/>
                <w:lang w:val="es-VE"/>
              </w:rPr>
            </w:pPr>
            <w:r w:rsidRPr="004945E1">
              <w:rPr>
                <w:i/>
                <w:sz w:val="22"/>
                <w:lang w:val="es-VE"/>
              </w:rPr>
              <w:t>Vivienda permanente (que no sea RRH) para personas que antes no tenían hogar</w:t>
            </w:r>
          </w:p>
          <w:p w14:paraId="13673D71" w14:textId="77777777" w:rsidR="007271AD" w:rsidRPr="004945E1" w:rsidRDefault="00FB26D9">
            <w:pPr>
              <w:pStyle w:val="ListParagraph"/>
              <w:numPr>
                <w:ilvl w:val="0"/>
                <w:numId w:val="25"/>
              </w:numPr>
              <w:spacing w:after="160" w:line="256" w:lineRule="auto"/>
              <w:rPr>
                <w:i/>
                <w:sz w:val="22"/>
                <w:lang w:val="es-VE"/>
              </w:rPr>
            </w:pPr>
            <w:r w:rsidRPr="004945E1">
              <w:rPr>
                <w:i/>
                <w:sz w:val="22"/>
                <w:lang w:val="es-VE"/>
              </w:rPr>
              <w:t xml:space="preserve">Alquilado por cliente con RRH o subvención equivalente </w:t>
            </w:r>
          </w:p>
          <w:p w14:paraId="7AACCBAC" w14:textId="77777777" w:rsidR="007271AD" w:rsidRPr="004945E1" w:rsidRDefault="00FB26D9">
            <w:pPr>
              <w:pStyle w:val="ListParagraph"/>
              <w:numPr>
                <w:ilvl w:val="0"/>
                <w:numId w:val="25"/>
              </w:numPr>
              <w:spacing w:after="160" w:line="256" w:lineRule="auto"/>
              <w:rPr>
                <w:i/>
                <w:sz w:val="22"/>
                <w:lang w:val="es-VE"/>
              </w:rPr>
            </w:pPr>
            <w:r w:rsidRPr="004945E1">
              <w:rPr>
                <w:i/>
                <w:sz w:val="22"/>
                <w:lang w:val="es-VE"/>
              </w:rPr>
              <w:t>Alquilado por cliente con bono HCV (inquilino o por proyecto)</w:t>
            </w:r>
          </w:p>
          <w:p w14:paraId="520E8B75" w14:textId="77777777" w:rsidR="007271AD" w:rsidRPr="004945E1" w:rsidRDefault="00FB26D9">
            <w:pPr>
              <w:pStyle w:val="ListParagraph"/>
              <w:numPr>
                <w:ilvl w:val="0"/>
                <w:numId w:val="25"/>
              </w:numPr>
              <w:spacing w:after="160" w:line="256" w:lineRule="auto"/>
              <w:rPr>
                <w:i/>
                <w:sz w:val="22"/>
                <w:lang w:val="es-VE"/>
              </w:rPr>
            </w:pPr>
            <w:r w:rsidRPr="004945E1">
              <w:rPr>
                <w:i/>
                <w:sz w:val="22"/>
                <w:lang w:val="es-VE"/>
              </w:rPr>
              <w:t>Alquilado por cliente en una unidad de vivienda pública</w:t>
            </w:r>
          </w:p>
          <w:p w14:paraId="1308D8A8" w14:textId="77777777" w:rsidR="007271AD" w:rsidRPr="004945E1" w:rsidRDefault="00FB26D9">
            <w:pPr>
              <w:pStyle w:val="ListParagraph"/>
              <w:numPr>
                <w:ilvl w:val="0"/>
                <w:numId w:val="25"/>
              </w:numPr>
              <w:spacing w:after="160" w:line="256" w:lineRule="auto"/>
              <w:rPr>
                <w:i/>
                <w:sz w:val="22"/>
                <w:lang w:val="es-VE"/>
              </w:rPr>
            </w:pPr>
            <w:r w:rsidRPr="004945E1">
              <w:rPr>
                <w:i/>
                <w:sz w:val="22"/>
                <w:lang w:val="es-VE"/>
              </w:rPr>
              <w:t>Alquilado por cliente sin subvención regular alguna del gobierno</w:t>
            </w:r>
          </w:p>
          <w:p w14:paraId="556C4DA4" w14:textId="77777777" w:rsidR="007271AD" w:rsidRPr="004945E1" w:rsidRDefault="00FB26D9">
            <w:pPr>
              <w:pStyle w:val="ListParagraph"/>
              <w:numPr>
                <w:ilvl w:val="0"/>
                <w:numId w:val="25"/>
              </w:numPr>
              <w:spacing w:after="160" w:line="256" w:lineRule="auto"/>
              <w:rPr>
                <w:i/>
                <w:sz w:val="22"/>
                <w:lang w:val="es-VE"/>
              </w:rPr>
            </w:pPr>
            <w:r w:rsidRPr="004945E1">
              <w:rPr>
                <w:i/>
                <w:sz w:val="22"/>
                <w:lang w:val="es-VE"/>
              </w:rPr>
              <w:t>Alquilado por cliente con otra subvención en curso</w:t>
            </w:r>
          </w:p>
          <w:p w14:paraId="36EB77A7" w14:textId="77777777" w:rsidR="007271AD" w:rsidRPr="004945E1" w:rsidRDefault="00FB26D9">
            <w:pPr>
              <w:pStyle w:val="ListParagraph"/>
              <w:numPr>
                <w:ilvl w:val="0"/>
                <w:numId w:val="25"/>
              </w:numPr>
              <w:spacing w:after="160" w:line="256" w:lineRule="auto"/>
              <w:rPr>
                <w:i/>
                <w:sz w:val="22"/>
                <w:lang w:val="es-VE"/>
              </w:rPr>
            </w:pPr>
            <w:r w:rsidRPr="004945E1">
              <w:rPr>
                <w:i/>
                <w:sz w:val="22"/>
                <w:lang w:val="es-VE"/>
              </w:rPr>
              <w:t>Propiedad del cliente con subvención regular del gobierno</w:t>
            </w:r>
          </w:p>
          <w:p w14:paraId="025A0ACD" w14:textId="77777777" w:rsidR="007271AD" w:rsidRPr="004945E1" w:rsidRDefault="00FB26D9">
            <w:pPr>
              <w:pStyle w:val="ListParagraph"/>
              <w:numPr>
                <w:ilvl w:val="0"/>
                <w:numId w:val="25"/>
              </w:numPr>
              <w:spacing w:after="160" w:line="256" w:lineRule="auto"/>
              <w:rPr>
                <w:i/>
                <w:sz w:val="22"/>
                <w:lang w:val="es-VE"/>
              </w:rPr>
            </w:pPr>
            <w:r w:rsidRPr="004945E1">
              <w:rPr>
                <w:i/>
                <w:sz w:val="22"/>
                <w:lang w:val="es-VE"/>
              </w:rPr>
              <w:t>Propiedad del cliente sin subvención regular alguna de vivienda</w:t>
            </w:r>
          </w:p>
          <w:p w14:paraId="535D18BD" w14:textId="77777777" w:rsidR="007271AD" w:rsidRPr="004945E1" w:rsidRDefault="00FB26D9">
            <w:pPr>
              <w:pStyle w:val="ListParagraph"/>
              <w:numPr>
                <w:ilvl w:val="0"/>
                <w:numId w:val="25"/>
              </w:numPr>
              <w:spacing w:after="160" w:line="256" w:lineRule="auto"/>
              <w:rPr>
                <w:i/>
                <w:sz w:val="22"/>
                <w:lang w:val="es-VE"/>
              </w:rPr>
            </w:pPr>
            <w:r w:rsidRPr="004945E1">
              <w:rPr>
                <w:i/>
                <w:sz w:val="22"/>
                <w:lang w:val="es-VE"/>
              </w:rPr>
              <w:t>Otro</w:t>
            </w:r>
          </w:p>
          <w:p w14:paraId="358AE254" w14:textId="77777777" w:rsidR="007271AD" w:rsidRPr="004945E1" w:rsidRDefault="00FB26D9">
            <w:pPr>
              <w:pStyle w:val="ListParagraph"/>
              <w:numPr>
                <w:ilvl w:val="0"/>
                <w:numId w:val="25"/>
              </w:numPr>
              <w:spacing w:after="160" w:line="256" w:lineRule="auto"/>
              <w:rPr>
                <w:i/>
                <w:sz w:val="22"/>
                <w:lang w:val="es-VE"/>
              </w:rPr>
            </w:pPr>
            <w:r w:rsidRPr="004945E1">
              <w:rPr>
                <w:i/>
                <w:sz w:val="22"/>
                <w:lang w:val="es-VE"/>
              </w:rPr>
              <w:t>El trabajador no puede determinar</w:t>
            </w:r>
          </w:p>
          <w:p w14:paraId="2C198EED" w14:textId="77777777" w:rsidR="007271AD" w:rsidRPr="004945E1" w:rsidRDefault="00FB26D9">
            <w:pPr>
              <w:pStyle w:val="ListParagraph"/>
              <w:numPr>
                <w:ilvl w:val="0"/>
                <w:numId w:val="25"/>
              </w:numPr>
              <w:spacing w:after="160" w:line="256" w:lineRule="auto"/>
              <w:rPr>
                <w:i/>
                <w:sz w:val="22"/>
                <w:lang w:val="es-VE"/>
              </w:rPr>
            </w:pPr>
            <w:r w:rsidRPr="004945E1">
              <w:rPr>
                <w:i/>
                <w:sz w:val="22"/>
                <w:lang w:val="es-VE"/>
              </w:rPr>
              <w:t>El cliente no sabe</w:t>
            </w:r>
          </w:p>
          <w:p w14:paraId="6B8CEED7" w14:textId="77777777" w:rsidR="007271AD" w:rsidRPr="004945E1" w:rsidRDefault="00FB26D9">
            <w:pPr>
              <w:pStyle w:val="ListParagraph"/>
              <w:numPr>
                <w:ilvl w:val="0"/>
                <w:numId w:val="25"/>
              </w:numPr>
              <w:spacing w:after="160" w:line="256" w:lineRule="auto"/>
              <w:rPr>
                <w:i/>
                <w:sz w:val="22"/>
                <w:lang w:val="es-VE"/>
              </w:rPr>
            </w:pPr>
            <w:r w:rsidRPr="004945E1">
              <w:rPr>
                <w:i/>
                <w:sz w:val="22"/>
                <w:lang w:val="es-VE"/>
              </w:rPr>
              <w:t>El cliente se rehusó</w:t>
            </w:r>
          </w:p>
          <w:p w14:paraId="26EDE503" w14:textId="5475F08E" w:rsidR="007271AD" w:rsidRPr="004945E1" w:rsidRDefault="00FB26D9">
            <w:pPr>
              <w:spacing w:after="160" w:line="256" w:lineRule="auto"/>
              <w:rPr>
                <w:i/>
                <w:iCs/>
                <w:sz w:val="22"/>
                <w:lang w:val="es-VE"/>
              </w:rPr>
            </w:pPr>
            <w:r w:rsidRPr="004945E1">
              <w:rPr>
                <w:i/>
                <w:iCs/>
                <w:sz w:val="20"/>
                <w:lang w:val="es-VE"/>
              </w:rPr>
              <w:t>*Si no tiene una cuenta</w:t>
            </w:r>
            <w:r w:rsidR="00E21D71" w:rsidRPr="004945E1">
              <w:rPr>
                <w:i/>
                <w:iCs/>
                <w:sz w:val="20"/>
                <w:lang w:val="es-VE"/>
              </w:rPr>
              <w:t xml:space="preserve"> del</w:t>
            </w:r>
            <w:r w:rsidRPr="004945E1">
              <w:rPr>
                <w:i/>
                <w:iCs/>
                <w:sz w:val="20"/>
                <w:lang w:val="es-VE"/>
              </w:rPr>
              <w:t xml:space="preserve"> HMIS, tenga en cuenta que, dependiendo de la selección anterior, </w:t>
            </w:r>
            <w:r w:rsidR="00E21D71" w:rsidRPr="004945E1">
              <w:rPr>
                <w:i/>
                <w:iCs/>
                <w:sz w:val="20"/>
                <w:lang w:val="es-VE"/>
              </w:rPr>
              <w:t xml:space="preserve">el </w:t>
            </w:r>
            <w:r w:rsidRPr="004945E1">
              <w:rPr>
                <w:i/>
                <w:iCs/>
                <w:sz w:val="20"/>
                <w:lang w:val="es-VE"/>
              </w:rPr>
              <w:t xml:space="preserve">HMIS puede solicitar más información. Esté preparado para comunicarse con el personal de CoC de manera oportuna si se requiere más información. </w:t>
            </w:r>
          </w:p>
        </w:tc>
      </w:tr>
      <w:tr w:rsidR="007271AD" w:rsidRPr="004945E1" w14:paraId="3DC3F6B4" w14:textId="77777777">
        <w:tc>
          <w:tcPr>
            <w:tcW w:w="5813" w:type="dxa"/>
          </w:tcPr>
          <w:p w14:paraId="7155BC9C" w14:textId="7DE61204" w:rsidR="007271AD" w:rsidRPr="004945E1" w:rsidRDefault="00FB26D9">
            <w:pPr>
              <w:spacing w:after="160" w:line="256" w:lineRule="auto"/>
              <w:rPr>
                <w:sz w:val="22"/>
                <w:lang w:val="es-VE"/>
              </w:rPr>
            </w:pPr>
            <w:r w:rsidRPr="004945E1">
              <w:rPr>
                <w:sz w:val="22"/>
                <w:lang w:val="es-VE"/>
              </w:rPr>
              <w:lastRenderedPageBreak/>
              <w:t>Duración de la estancia en la situación de vivienda anterior</w:t>
            </w:r>
          </w:p>
        </w:tc>
        <w:tc>
          <w:tcPr>
            <w:tcW w:w="4978" w:type="dxa"/>
          </w:tcPr>
          <w:p w14:paraId="76D271D9" w14:textId="77777777" w:rsidR="007271AD" w:rsidRPr="004945E1" w:rsidRDefault="00FB26D9">
            <w:pPr>
              <w:spacing w:after="160" w:line="256" w:lineRule="auto"/>
              <w:rPr>
                <w:sz w:val="22"/>
                <w:lang w:val="es-VE"/>
              </w:rPr>
            </w:pPr>
            <w:r w:rsidRPr="004945E1">
              <w:rPr>
                <w:sz w:val="22"/>
                <w:lang w:val="es-VE"/>
              </w:rPr>
              <w:t xml:space="preserve">Seleccione una de las siguientes opciones: </w:t>
            </w:r>
          </w:p>
          <w:p w14:paraId="63F6F0DE" w14:textId="77777777" w:rsidR="007271AD" w:rsidRPr="004945E1" w:rsidRDefault="00FB26D9">
            <w:pPr>
              <w:pStyle w:val="ListParagraph"/>
              <w:numPr>
                <w:ilvl w:val="0"/>
                <w:numId w:val="26"/>
              </w:numPr>
              <w:spacing w:after="160" w:line="256" w:lineRule="auto"/>
              <w:rPr>
                <w:sz w:val="22"/>
                <w:lang w:val="es-VE"/>
              </w:rPr>
            </w:pPr>
            <w:r w:rsidRPr="004945E1">
              <w:rPr>
                <w:sz w:val="22"/>
                <w:lang w:val="es-VE"/>
              </w:rPr>
              <w:t>Una noche o menos</w:t>
            </w:r>
          </w:p>
          <w:p w14:paraId="4B257BDF" w14:textId="77777777" w:rsidR="007271AD" w:rsidRPr="004945E1" w:rsidRDefault="00FB26D9">
            <w:pPr>
              <w:pStyle w:val="ListParagraph"/>
              <w:numPr>
                <w:ilvl w:val="0"/>
                <w:numId w:val="26"/>
              </w:numPr>
              <w:spacing w:after="160" w:line="256" w:lineRule="auto"/>
              <w:rPr>
                <w:sz w:val="22"/>
                <w:lang w:val="es-VE"/>
              </w:rPr>
            </w:pPr>
            <w:r w:rsidRPr="004945E1">
              <w:rPr>
                <w:sz w:val="22"/>
                <w:lang w:val="es-VE"/>
              </w:rPr>
              <w:t>De dos a seis noches</w:t>
            </w:r>
          </w:p>
          <w:p w14:paraId="001425D3" w14:textId="77777777" w:rsidR="007271AD" w:rsidRPr="004945E1" w:rsidRDefault="00FB26D9">
            <w:pPr>
              <w:pStyle w:val="ListParagraph"/>
              <w:numPr>
                <w:ilvl w:val="0"/>
                <w:numId w:val="26"/>
              </w:numPr>
              <w:spacing w:after="160" w:line="256" w:lineRule="auto"/>
              <w:rPr>
                <w:sz w:val="22"/>
                <w:lang w:val="es-VE"/>
              </w:rPr>
            </w:pPr>
            <w:r w:rsidRPr="004945E1">
              <w:rPr>
                <w:sz w:val="22"/>
                <w:lang w:val="es-VE"/>
              </w:rPr>
              <w:t>Una semana o más, pero menos de un mes</w:t>
            </w:r>
          </w:p>
          <w:p w14:paraId="0420604A" w14:textId="4B9A6654" w:rsidR="007271AD" w:rsidRPr="004945E1" w:rsidRDefault="00FB26D9">
            <w:pPr>
              <w:pStyle w:val="ListParagraph"/>
              <w:numPr>
                <w:ilvl w:val="0"/>
                <w:numId w:val="26"/>
              </w:numPr>
              <w:spacing w:after="160" w:line="256" w:lineRule="auto"/>
              <w:rPr>
                <w:sz w:val="22"/>
                <w:lang w:val="es-VE"/>
              </w:rPr>
            </w:pPr>
            <w:r w:rsidRPr="004945E1">
              <w:rPr>
                <w:sz w:val="22"/>
                <w:lang w:val="es-VE"/>
              </w:rPr>
              <w:t>Un mes o más</w:t>
            </w:r>
            <w:r w:rsidR="00E21D71" w:rsidRPr="004945E1">
              <w:rPr>
                <w:sz w:val="22"/>
                <w:lang w:val="es-VE"/>
              </w:rPr>
              <w:t>,</w:t>
            </w:r>
            <w:r w:rsidRPr="004945E1">
              <w:rPr>
                <w:sz w:val="22"/>
                <w:lang w:val="es-VE"/>
              </w:rPr>
              <w:t xml:space="preserve"> pero menos de 90 días</w:t>
            </w:r>
          </w:p>
          <w:p w14:paraId="6A4691DE" w14:textId="7D54902F" w:rsidR="007271AD" w:rsidRPr="004945E1" w:rsidRDefault="00FB26D9">
            <w:pPr>
              <w:pStyle w:val="ListParagraph"/>
              <w:numPr>
                <w:ilvl w:val="0"/>
                <w:numId w:val="26"/>
              </w:numPr>
              <w:spacing w:after="160" w:line="256" w:lineRule="auto"/>
              <w:rPr>
                <w:sz w:val="22"/>
                <w:lang w:val="es-VE"/>
              </w:rPr>
            </w:pPr>
            <w:r w:rsidRPr="004945E1">
              <w:rPr>
                <w:sz w:val="22"/>
                <w:lang w:val="es-VE"/>
              </w:rPr>
              <w:t>90 días o más</w:t>
            </w:r>
            <w:r w:rsidR="00E21D71" w:rsidRPr="004945E1">
              <w:rPr>
                <w:sz w:val="22"/>
                <w:lang w:val="es-VE"/>
              </w:rPr>
              <w:t>,</w:t>
            </w:r>
            <w:r w:rsidRPr="004945E1">
              <w:rPr>
                <w:sz w:val="22"/>
                <w:lang w:val="es-VE"/>
              </w:rPr>
              <w:t xml:space="preserve"> pero menos de un año</w:t>
            </w:r>
          </w:p>
          <w:p w14:paraId="0DE68D36" w14:textId="77777777" w:rsidR="007271AD" w:rsidRPr="004945E1" w:rsidRDefault="00FB26D9">
            <w:pPr>
              <w:pStyle w:val="ListParagraph"/>
              <w:numPr>
                <w:ilvl w:val="0"/>
                <w:numId w:val="26"/>
              </w:numPr>
              <w:spacing w:after="160" w:line="256" w:lineRule="auto"/>
              <w:rPr>
                <w:sz w:val="22"/>
                <w:lang w:val="es-VE"/>
              </w:rPr>
            </w:pPr>
            <w:r w:rsidRPr="004945E1">
              <w:rPr>
                <w:sz w:val="22"/>
                <w:lang w:val="es-VE"/>
              </w:rPr>
              <w:t>Un año o más</w:t>
            </w:r>
          </w:p>
          <w:p w14:paraId="528510BC" w14:textId="77777777" w:rsidR="007271AD" w:rsidRPr="004945E1" w:rsidRDefault="00FB26D9">
            <w:pPr>
              <w:pStyle w:val="ListParagraph"/>
              <w:numPr>
                <w:ilvl w:val="0"/>
                <w:numId w:val="26"/>
              </w:numPr>
              <w:spacing w:after="160" w:line="256" w:lineRule="auto"/>
              <w:rPr>
                <w:sz w:val="22"/>
                <w:lang w:val="es-VE"/>
              </w:rPr>
            </w:pPr>
            <w:r w:rsidRPr="004945E1">
              <w:rPr>
                <w:sz w:val="22"/>
                <w:lang w:val="es-VE"/>
              </w:rPr>
              <w:t>El cliente no sabe</w:t>
            </w:r>
          </w:p>
          <w:p w14:paraId="6A2C3A42" w14:textId="541BB451" w:rsidR="007271AD" w:rsidRPr="004945E1" w:rsidRDefault="00FB26D9">
            <w:pPr>
              <w:pStyle w:val="ListParagraph"/>
              <w:numPr>
                <w:ilvl w:val="0"/>
                <w:numId w:val="26"/>
              </w:numPr>
              <w:spacing w:after="160" w:line="256" w:lineRule="auto"/>
              <w:rPr>
                <w:sz w:val="22"/>
                <w:lang w:val="es-VE"/>
              </w:rPr>
            </w:pPr>
            <w:r w:rsidRPr="004945E1">
              <w:rPr>
                <w:sz w:val="22"/>
                <w:lang w:val="es-VE"/>
              </w:rPr>
              <w:t>El cliente se rehusó</w:t>
            </w:r>
          </w:p>
        </w:tc>
      </w:tr>
      <w:tr w:rsidR="007271AD" w:rsidRPr="004945E1" w14:paraId="326A7531" w14:textId="77777777">
        <w:trPr>
          <w:trHeight w:val="440"/>
        </w:trPr>
        <w:tc>
          <w:tcPr>
            <w:tcW w:w="5813" w:type="dxa"/>
          </w:tcPr>
          <w:p w14:paraId="21DC3EF2" w14:textId="4293E20C" w:rsidR="007271AD" w:rsidRPr="004945E1" w:rsidRDefault="00FB26D9">
            <w:pPr>
              <w:spacing w:after="160" w:line="256" w:lineRule="auto"/>
              <w:rPr>
                <w:sz w:val="22"/>
                <w:lang w:val="es-VE"/>
              </w:rPr>
            </w:pPr>
            <w:r w:rsidRPr="004945E1">
              <w:rPr>
                <w:sz w:val="22"/>
                <w:lang w:val="es-VE"/>
              </w:rPr>
              <w:lastRenderedPageBreak/>
              <w:t>Fecha aproximada de inicio de la falta de vivienda</w:t>
            </w:r>
          </w:p>
        </w:tc>
        <w:tc>
          <w:tcPr>
            <w:tcW w:w="4978" w:type="dxa"/>
          </w:tcPr>
          <w:p w14:paraId="19677E71" w14:textId="5AAAED10" w:rsidR="007271AD" w:rsidRPr="004945E1" w:rsidRDefault="00FB26D9">
            <w:pPr>
              <w:spacing w:after="160" w:line="256" w:lineRule="auto"/>
              <w:rPr>
                <w:i/>
                <w:sz w:val="22"/>
                <w:lang w:val="es-VE"/>
              </w:rPr>
            </w:pPr>
            <w:r w:rsidRPr="004945E1">
              <w:rPr>
                <w:i/>
                <w:sz w:val="22"/>
                <w:lang w:val="es-VE"/>
              </w:rPr>
              <w:t xml:space="preserve">Registre la fecha aproximada en que comenzó esta situación de falta de hogar. Puede buscar la fecha de la última vez que la persona tuvo una vivienda permanente o un lugar seguro y constante para dormir que no estaba en la calle, un refugio de emergencia, un refugio seguro o un lugar no destinado a la habitación humana, e ingrese esa fecha. </w:t>
            </w:r>
          </w:p>
        </w:tc>
      </w:tr>
      <w:tr w:rsidR="007271AD" w:rsidRPr="004945E1" w14:paraId="169EB564" w14:textId="77777777">
        <w:trPr>
          <w:trHeight w:val="1250"/>
        </w:trPr>
        <w:tc>
          <w:tcPr>
            <w:tcW w:w="5813" w:type="dxa"/>
          </w:tcPr>
          <w:p w14:paraId="391E9EDC" w14:textId="0709CD73" w:rsidR="007271AD" w:rsidRPr="004945E1" w:rsidRDefault="00FB26D9">
            <w:pPr>
              <w:spacing w:after="160" w:line="256" w:lineRule="auto"/>
              <w:rPr>
                <w:sz w:val="22"/>
                <w:lang w:val="es-VE"/>
              </w:rPr>
            </w:pPr>
            <w:r w:rsidRPr="004945E1">
              <w:rPr>
                <w:sz w:val="22"/>
                <w:lang w:val="es-VE"/>
              </w:rPr>
              <w:t>Número de veces sin hogar en los últimos tres años</w:t>
            </w:r>
          </w:p>
        </w:tc>
        <w:tc>
          <w:tcPr>
            <w:tcW w:w="4978" w:type="dxa"/>
          </w:tcPr>
          <w:p w14:paraId="042EE89E" w14:textId="453C0D67" w:rsidR="007271AD" w:rsidRPr="004945E1" w:rsidRDefault="00FB26D9">
            <w:pPr>
              <w:spacing w:after="160"/>
              <w:contextualSpacing/>
              <w:rPr>
                <w:i/>
                <w:sz w:val="22"/>
                <w:lang w:val="es-VE"/>
              </w:rPr>
            </w:pPr>
            <w:r w:rsidRPr="004945E1">
              <w:rPr>
                <w:i/>
                <w:sz w:val="22"/>
                <w:lang w:val="es-VE"/>
              </w:rPr>
              <w:t>Registre la cantidad de veces/episodios que la persona ha estado sin hogar en los últimos tres años, incluida la hora de la evaluación. Si la persona experimentó una situación de falta de vivienda periódica pero no constante, considere un episodio como el período de tiempo durante el cual la persona experimentó una situación de falta de vivienda constante, literalmente, entre una vivienda y otra.</w:t>
            </w:r>
          </w:p>
        </w:tc>
      </w:tr>
      <w:tr w:rsidR="007271AD" w:rsidRPr="004945E1" w14:paraId="40C9E189" w14:textId="77777777">
        <w:trPr>
          <w:trHeight w:val="1250"/>
        </w:trPr>
        <w:tc>
          <w:tcPr>
            <w:tcW w:w="5813" w:type="dxa"/>
          </w:tcPr>
          <w:p w14:paraId="61A17573" w14:textId="2EFAE058" w:rsidR="007271AD" w:rsidRPr="004945E1" w:rsidRDefault="00FB26D9">
            <w:pPr>
              <w:spacing w:after="160" w:line="256" w:lineRule="auto"/>
              <w:rPr>
                <w:sz w:val="22"/>
                <w:lang w:val="es-VE"/>
              </w:rPr>
            </w:pPr>
            <w:r w:rsidRPr="004945E1">
              <w:rPr>
                <w:sz w:val="22"/>
                <w:lang w:val="es-VE"/>
              </w:rPr>
              <w:t>Número total aproximado de meses sin hogar en los últimos tres años</w:t>
            </w:r>
          </w:p>
        </w:tc>
        <w:tc>
          <w:tcPr>
            <w:tcW w:w="4978" w:type="dxa"/>
          </w:tcPr>
          <w:p w14:paraId="724AF5F0" w14:textId="0A488D05" w:rsidR="007271AD" w:rsidRPr="004945E1" w:rsidRDefault="00FB26D9">
            <w:pPr>
              <w:spacing w:after="160" w:line="257" w:lineRule="auto"/>
              <w:contextualSpacing/>
              <w:rPr>
                <w:i/>
                <w:sz w:val="22"/>
                <w:lang w:val="es-VE"/>
              </w:rPr>
            </w:pPr>
            <w:r w:rsidRPr="004945E1">
              <w:rPr>
                <w:i/>
                <w:sz w:val="22"/>
                <w:lang w:val="es-VE"/>
              </w:rPr>
              <w:t xml:space="preserve">Registre el número total de meses que la persona ha estado sin hogar en los últimos tres años. Este número es acumulativo pero no necesariamente consecutivo. </w:t>
            </w:r>
          </w:p>
        </w:tc>
      </w:tr>
    </w:tbl>
    <w:p w14:paraId="2A358F40" w14:textId="55F089EE" w:rsidR="007271AD" w:rsidRPr="004945E1" w:rsidRDefault="007271AD">
      <w:pPr>
        <w:spacing w:after="160" w:line="259" w:lineRule="auto"/>
        <w:contextualSpacing/>
        <w:rPr>
          <w:sz w:val="22"/>
          <w:lang w:val="es-VE"/>
        </w:rPr>
      </w:pPr>
    </w:p>
    <w:p w14:paraId="07E84110" w14:textId="5F3AAAEC" w:rsidR="007271AD" w:rsidRPr="004945E1" w:rsidRDefault="007271AD">
      <w:pPr>
        <w:spacing w:after="160" w:line="259" w:lineRule="auto"/>
        <w:contextualSpacing/>
        <w:rPr>
          <w:sz w:val="22"/>
          <w:lang w:val="es-VE"/>
        </w:rPr>
      </w:pPr>
    </w:p>
    <w:p w14:paraId="68BC0436" w14:textId="15B88300" w:rsidR="007271AD" w:rsidRPr="004945E1" w:rsidRDefault="007271AD">
      <w:pPr>
        <w:spacing w:after="160" w:line="259" w:lineRule="auto"/>
        <w:contextualSpacing/>
        <w:rPr>
          <w:sz w:val="22"/>
          <w:lang w:val="es-VE"/>
        </w:rPr>
      </w:pPr>
    </w:p>
    <w:p w14:paraId="62866287" w14:textId="77777777" w:rsidR="007271AD" w:rsidRPr="004945E1" w:rsidRDefault="007271AD">
      <w:pPr>
        <w:spacing w:after="160" w:line="259" w:lineRule="auto"/>
        <w:contextualSpacing/>
        <w:rPr>
          <w:sz w:val="22"/>
          <w:lang w:val="es-VE"/>
        </w:rPr>
      </w:pPr>
    </w:p>
    <w:tbl>
      <w:tblPr>
        <w:tblStyle w:val="TableGrid"/>
        <w:tblW w:w="10791" w:type="dxa"/>
        <w:tblLook w:val="04A0" w:firstRow="1" w:lastRow="0" w:firstColumn="1" w:lastColumn="0" w:noHBand="0" w:noVBand="1"/>
      </w:tblPr>
      <w:tblGrid>
        <w:gridCol w:w="5813"/>
        <w:gridCol w:w="4978"/>
      </w:tblGrid>
      <w:tr w:rsidR="007271AD" w:rsidRPr="004945E1" w14:paraId="64C04A34" w14:textId="77777777">
        <w:tc>
          <w:tcPr>
            <w:tcW w:w="10791" w:type="dxa"/>
            <w:gridSpan w:val="2"/>
          </w:tcPr>
          <w:p w14:paraId="43E1664A" w14:textId="78D68EB7" w:rsidR="007271AD" w:rsidRPr="004945E1" w:rsidRDefault="00FB26D9">
            <w:pPr>
              <w:spacing w:after="160" w:line="256" w:lineRule="auto"/>
              <w:jc w:val="center"/>
              <w:rPr>
                <w:i/>
                <w:sz w:val="20"/>
                <w:lang w:val="es-VE"/>
              </w:rPr>
            </w:pPr>
            <w:r w:rsidRPr="004945E1">
              <w:rPr>
                <w:b/>
                <w:sz w:val="28"/>
                <w:u w:val="single"/>
                <w:lang w:val="es-VE"/>
              </w:rPr>
              <w:t xml:space="preserve">Sección 3: Triaje del </w:t>
            </w:r>
            <w:r w:rsidR="002F52C8" w:rsidRPr="004945E1">
              <w:rPr>
                <w:b/>
                <w:sz w:val="28"/>
                <w:u w:val="single"/>
                <w:lang w:val="es-VE"/>
              </w:rPr>
              <w:t>estado de personas sin hogar</w:t>
            </w:r>
            <w:r w:rsidR="002F52C8" w:rsidRPr="004945E1">
              <w:rPr>
                <w:i/>
                <w:sz w:val="20"/>
                <w:lang w:val="es-VE"/>
              </w:rPr>
              <w:t xml:space="preserve"> </w:t>
            </w:r>
          </w:p>
          <w:p w14:paraId="687828C0" w14:textId="36145F87" w:rsidR="007271AD" w:rsidRPr="004945E1" w:rsidRDefault="00FB26D9">
            <w:pPr>
              <w:spacing w:after="160" w:line="256" w:lineRule="auto"/>
              <w:jc w:val="center"/>
              <w:rPr>
                <w:i/>
                <w:sz w:val="22"/>
                <w:lang w:val="es-VE"/>
              </w:rPr>
            </w:pPr>
            <w:r w:rsidRPr="004945E1">
              <w:rPr>
                <w:i/>
                <w:sz w:val="20"/>
                <w:lang w:val="es-VE"/>
              </w:rPr>
              <w:t xml:space="preserve">El propósito de esta sección es identificar si el evaluador debe o no </w:t>
            </w:r>
            <w:r w:rsidR="002F52C8" w:rsidRPr="004945E1">
              <w:rPr>
                <w:i/>
                <w:sz w:val="20"/>
                <w:lang w:val="es-VE"/>
              </w:rPr>
              <w:t>llenar</w:t>
            </w:r>
            <w:r w:rsidRPr="004945E1">
              <w:rPr>
                <w:i/>
                <w:sz w:val="20"/>
                <w:lang w:val="es-VE"/>
              </w:rPr>
              <w:t xml:space="preserve"> la evaluación completa de CE para el individuo o la familia o si debe detener la evaluación y hacer derivaciones inmediatas a Prevención u otros recursos. Las personas y familias que no son elegibles para los recursos actuales disponibles a través de CE</w:t>
            </w:r>
            <w:r w:rsidR="002F52C8" w:rsidRPr="004945E1">
              <w:rPr>
                <w:i/>
                <w:sz w:val="20"/>
                <w:lang w:val="es-VE"/>
              </w:rPr>
              <w:t>,</w:t>
            </w:r>
            <w:r w:rsidRPr="004945E1">
              <w:rPr>
                <w:i/>
                <w:sz w:val="20"/>
                <w:lang w:val="es-VE"/>
              </w:rPr>
              <w:t xml:space="preserve"> no deben pasar a través de CE a la Lista por Nombres, sino que deben dirigirse a la puerta de entrada de CE a los recursos para abordar las necesidades inmediatas de vivienda.</w:t>
            </w:r>
          </w:p>
        </w:tc>
      </w:tr>
      <w:tr w:rsidR="007271AD" w:rsidRPr="004945E1" w14:paraId="1609B73B" w14:textId="77777777">
        <w:tc>
          <w:tcPr>
            <w:tcW w:w="5813" w:type="dxa"/>
            <w:hideMark/>
          </w:tcPr>
          <w:p w14:paraId="3FEBA1C7" w14:textId="1D1F3A61" w:rsidR="007271AD" w:rsidRPr="004945E1" w:rsidRDefault="00FB26D9">
            <w:pPr>
              <w:spacing w:after="160" w:line="256" w:lineRule="auto"/>
              <w:jc w:val="center"/>
              <w:rPr>
                <w:b/>
                <w:sz w:val="22"/>
                <w:lang w:val="es-VE"/>
              </w:rPr>
            </w:pPr>
            <w:r w:rsidRPr="004945E1">
              <w:rPr>
                <w:b/>
                <w:sz w:val="22"/>
                <w:lang w:val="es-VE"/>
              </w:rPr>
              <w:t>Situaciones de personas sin hogar</w:t>
            </w:r>
          </w:p>
        </w:tc>
        <w:tc>
          <w:tcPr>
            <w:tcW w:w="4978" w:type="dxa"/>
            <w:hideMark/>
          </w:tcPr>
          <w:p w14:paraId="4DAA36EB" w14:textId="77777777" w:rsidR="007271AD" w:rsidRPr="004945E1" w:rsidRDefault="00FB26D9">
            <w:pPr>
              <w:spacing w:after="160" w:line="256" w:lineRule="auto"/>
              <w:jc w:val="center"/>
              <w:rPr>
                <w:b/>
                <w:sz w:val="22"/>
                <w:lang w:val="es-VE"/>
              </w:rPr>
            </w:pPr>
            <w:r w:rsidRPr="004945E1">
              <w:rPr>
                <w:b/>
                <w:sz w:val="22"/>
                <w:lang w:val="es-VE"/>
              </w:rPr>
              <w:t>Aclaración y ejemplos</w:t>
            </w:r>
          </w:p>
        </w:tc>
      </w:tr>
      <w:tr w:rsidR="007271AD" w:rsidRPr="004945E1" w14:paraId="45C4074B" w14:textId="77777777">
        <w:trPr>
          <w:trHeight w:val="755"/>
        </w:trPr>
        <w:tc>
          <w:tcPr>
            <w:tcW w:w="5813" w:type="dxa"/>
          </w:tcPr>
          <w:p w14:paraId="0DC70E74" w14:textId="4ACB3D9F" w:rsidR="007271AD" w:rsidRPr="004945E1" w:rsidRDefault="00FB26D9">
            <w:pPr>
              <w:spacing w:after="160" w:line="256" w:lineRule="auto"/>
              <w:rPr>
                <w:sz w:val="22"/>
                <w:lang w:val="es-VE"/>
              </w:rPr>
            </w:pPr>
            <w:r w:rsidRPr="004945E1">
              <w:rPr>
                <w:rFonts w:cstheme="minorHAnsi"/>
                <w:sz w:val="22"/>
                <w:lang w:val="es-VE"/>
              </w:rPr>
              <w:t xml:space="preserve">Situación 1: </w:t>
            </w:r>
            <w:r w:rsidRPr="004945E1">
              <w:rPr>
                <w:sz w:val="22"/>
                <w:lang w:val="es-VE"/>
              </w:rPr>
              <w:t>Actualmente sin hogar viviendo en la calle, en un refugio, en un lugar que no es apto para la habitación humana</w:t>
            </w:r>
            <w:r w:rsidRPr="004945E1">
              <w:rPr>
                <w:rFonts w:cstheme="minorHAnsi"/>
                <w:sz w:val="22"/>
                <w:lang w:val="es-VE"/>
              </w:rPr>
              <w:t xml:space="preserve"> </w:t>
            </w:r>
          </w:p>
        </w:tc>
        <w:tc>
          <w:tcPr>
            <w:tcW w:w="4978" w:type="dxa"/>
          </w:tcPr>
          <w:p w14:paraId="3E6BDF49" w14:textId="77777777" w:rsidR="007271AD" w:rsidRPr="004945E1" w:rsidRDefault="00FB26D9">
            <w:pPr>
              <w:spacing w:after="160" w:line="256" w:lineRule="auto"/>
              <w:rPr>
                <w:i/>
                <w:sz w:val="22"/>
                <w:lang w:val="es-VE"/>
              </w:rPr>
            </w:pPr>
            <w:r w:rsidRPr="004945E1">
              <w:rPr>
                <w:i/>
                <w:sz w:val="22"/>
                <w:lang w:val="es-VE"/>
              </w:rPr>
              <w:t xml:space="preserve">Si el individuo o la familia está literalmente sin hogar, en otras palabras, sin hogar por vivir en la calle (incluidos los campamentos), en un refugio o en un lugar que no está destinado a la habitación humana, proceda con la evaluación. </w:t>
            </w:r>
          </w:p>
          <w:p w14:paraId="5D55A1FA" w14:textId="77777777" w:rsidR="007271AD" w:rsidRPr="004945E1" w:rsidRDefault="00FB26D9">
            <w:pPr>
              <w:spacing w:after="160" w:line="256" w:lineRule="auto"/>
              <w:rPr>
                <w:i/>
                <w:sz w:val="22"/>
                <w:lang w:val="es-VE"/>
              </w:rPr>
            </w:pPr>
            <w:r w:rsidRPr="004945E1">
              <w:rPr>
                <w:i/>
                <w:sz w:val="22"/>
                <w:lang w:val="es-VE"/>
              </w:rPr>
              <w:t xml:space="preserve">La definición de HUD de la falta de vivienda literal no incluye vivir con alguien más o en casa de alguien. Si el individuo o la familia ocasionalmente viven con alguien o en casa de alguien, pero principalmente experimentan literalmente la falta de vivienda como se describe anteriormente, continúe con la evaluación. </w:t>
            </w:r>
          </w:p>
          <w:p w14:paraId="37334AA9" w14:textId="12B50671" w:rsidR="007271AD" w:rsidRPr="004945E1" w:rsidRDefault="00FB26D9">
            <w:pPr>
              <w:spacing w:after="160" w:line="256" w:lineRule="auto"/>
              <w:rPr>
                <w:i/>
                <w:sz w:val="22"/>
                <w:lang w:val="es-VE"/>
              </w:rPr>
            </w:pPr>
            <w:r w:rsidRPr="004945E1">
              <w:rPr>
                <w:i/>
                <w:sz w:val="22"/>
                <w:lang w:val="es-VE"/>
              </w:rPr>
              <w:lastRenderedPageBreak/>
              <w:t xml:space="preserve">Tenga en cuenta que algunos recursos disponibles a través de CE pueden priorizar a las personas que sufren de falta de vivienda crónica o al considerar la cantidad de tiempo sin hogar. Referir a una persona o familia que literalmente no tiene hogar pero que es nueva en la falta de hogar puede significar que no necesariamente se les prioriza para recursos o conversaciones de conferencias de casos, aunque esto no es una verdad general. En estas circunstancias, debe trabajar con los socios de CE y el hogar para identificar rápidamente apoyos y posibles opciones de vivienda para que la falta de vivienda del hogar sea breve y no recurrente. </w:t>
            </w:r>
          </w:p>
        </w:tc>
      </w:tr>
      <w:tr w:rsidR="007271AD" w:rsidRPr="004945E1" w14:paraId="5E6CB591" w14:textId="77777777">
        <w:tc>
          <w:tcPr>
            <w:tcW w:w="5813" w:type="dxa"/>
          </w:tcPr>
          <w:p w14:paraId="0C58902E" w14:textId="2B17B44F" w:rsidR="007271AD" w:rsidRPr="004945E1" w:rsidRDefault="00FB26D9">
            <w:pPr>
              <w:spacing w:after="160" w:line="256" w:lineRule="auto"/>
              <w:rPr>
                <w:sz w:val="22"/>
                <w:lang w:val="es-VE"/>
              </w:rPr>
            </w:pPr>
            <w:r w:rsidRPr="004945E1">
              <w:rPr>
                <w:sz w:val="22"/>
                <w:lang w:val="es-VE"/>
              </w:rPr>
              <w:lastRenderedPageBreak/>
              <w:t xml:space="preserve">Situación 2: </w:t>
            </w:r>
            <w:r w:rsidR="00022AEB" w:rsidRPr="004945E1">
              <w:rPr>
                <w:sz w:val="22"/>
                <w:lang w:val="es-VE"/>
              </w:rPr>
              <w:t>H</w:t>
            </w:r>
            <w:r w:rsidRPr="004945E1">
              <w:rPr>
                <w:sz w:val="22"/>
                <w:lang w:val="es-VE"/>
              </w:rPr>
              <w:t>uir o intentar huir de violencia doméstica, agresión sexual, acecho, trata de personas o una situación de vida insegura</w:t>
            </w:r>
          </w:p>
          <w:p w14:paraId="3C9FF693" w14:textId="77777777" w:rsidR="007271AD" w:rsidRPr="004945E1" w:rsidRDefault="007271AD">
            <w:pPr>
              <w:spacing w:after="160" w:line="256" w:lineRule="auto"/>
              <w:rPr>
                <w:b/>
                <w:sz w:val="22"/>
                <w:lang w:val="es-VE"/>
              </w:rPr>
            </w:pPr>
          </w:p>
        </w:tc>
        <w:tc>
          <w:tcPr>
            <w:tcW w:w="4978" w:type="dxa"/>
          </w:tcPr>
          <w:p w14:paraId="6C75C76F" w14:textId="0C5A0627" w:rsidR="007271AD" w:rsidRPr="004945E1" w:rsidRDefault="00FB26D9">
            <w:pPr>
              <w:spacing w:after="160" w:line="256" w:lineRule="auto"/>
              <w:rPr>
                <w:i/>
                <w:sz w:val="22"/>
                <w:lang w:val="es-VE"/>
              </w:rPr>
            </w:pPr>
            <w:r w:rsidRPr="004945E1">
              <w:rPr>
                <w:i/>
                <w:sz w:val="22"/>
                <w:lang w:val="es-VE"/>
              </w:rPr>
              <w:t xml:space="preserve">Si la persona o la familia huye o intenta huir de alguna de las situaciones descritas a la izquierda, proceda con la evaluación. </w:t>
            </w:r>
          </w:p>
          <w:p w14:paraId="75A78B8B" w14:textId="7F2AC42C" w:rsidR="007271AD" w:rsidRPr="004945E1" w:rsidRDefault="00FB26D9">
            <w:pPr>
              <w:spacing w:after="160" w:line="256" w:lineRule="auto"/>
              <w:rPr>
                <w:i/>
                <w:sz w:val="22"/>
                <w:lang w:val="es-VE"/>
              </w:rPr>
            </w:pPr>
            <w:r w:rsidRPr="004945E1">
              <w:rPr>
                <w:i/>
                <w:sz w:val="22"/>
                <w:lang w:val="es-VE"/>
              </w:rPr>
              <w:t xml:space="preserve">Tenga en cuenta que PsH, financiado por CoC, prioriza la falta de vivienda crónica y solo puede ayudar a las personas que sufren de falta de vivienda crónica o literal. Si alguien está huyendo de cualquiera de las situaciones descritas a la izquierda pero no experimenta literalmente la falta de vivienda (calle, refugio, lugar no destinado a la habitación humana), no es elegible para PSH financiado por CoC. Sin embargo, son elegibles para TH financiado por CoC y otras conexiones a través del sistema de CE. </w:t>
            </w:r>
          </w:p>
          <w:p w14:paraId="5FC33247" w14:textId="6BEC89F7" w:rsidR="007271AD" w:rsidRPr="004945E1" w:rsidRDefault="007271AD">
            <w:pPr>
              <w:spacing w:after="160" w:line="256" w:lineRule="auto"/>
              <w:rPr>
                <w:sz w:val="22"/>
                <w:lang w:val="es-VE"/>
              </w:rPr>
            </w:pPr>
          </w:p>
        </w:tc>
      </w:tr>
      <w:tr w:rsidR="007271AD" w:rsidRPr="004945E1" w14:paraId="3084A3D9" w14:textId="77777777">
        <w:tc>
          <w:tcPr>
            <w:tcW w:w="5813" w:type="dxa"/>
          </w:tcPr>
          <w:p w14:paraId="0B7E6B79" w14:textId="3BCEF64C" w:rsidR="007271AD" w:rsidRPr="004945E1" w:rsidRDefault="00FB26D9">
            <w:pPr>
              <w:rPr>
                <w:sz w:val="22"/>
                <w:lang w:val="es-VE"/>
              </w:rPr>
            </w:pPr>
            <w:r w:rsidRPr="004945E1">
              <w:rPr>
                <w:sz w:val="22"/>
                <w:lang w:val="es-VE"/>
              </w:rPr>
              <w:t>Situación 3: En riesgo inminente de quedarse literalmente sin hogar dentro de los 30 días sin otra opción de vivienda identificada.</w:t>
            </w:r>
          </w:p>
        </w:tc>
        <w:tc>
          <w:tcPr>
            <w:tcW w:w="4978" w:type="dxa"/>
          </w:tcPr>
          <w:p w14:paraId="4D8493C9" w14:textId="41248055" w:rsidR="007271AD" w:rsidRPr="004945E1" w:rsidRDefault="00FB26D9">
            <w:pPr>
              <w:spacing w:after="160" w:line="256" w:lineRule="auto"/>
              <w:rPr>
                <w:i/>
                <w:sz w:val="22"/>
                <w:lang w:val="es-VE"/>
              </w:rPr>
            </w:pPr>
            <w:r w:rsidRPr="004945E1">
              <w:rPr>
                <w:i/>
                <w:sz w:val="22"/>
                <w:lang w:val="es-VE"/>
              </w:rPr>
              <w:t xml:space="preserve">Si la persona o la familia corren un riesgo inminente de quedar literalmente sin hogar (calle, refugio o lugar no destinado a la habitación humana) dentro de los próximos 30 días Y el </w:t>
            </w:r>
            <w:r w:rsidR="00D710BF" w:rsidRPr="004945E1">
              <w:rPr>
                <w:i/>
                <w:sz w:val="22"/>
                <w:lang w:val="es-VE"/>
              </w:rPr>
              <w:t>jefe</w:t>
            </w:r>
            <w:r w:rsidRPr="004945E1">
              <w:rPr>
                <w:i/>
                <w:sz w:val="22"/>
                <w:lang w:val="es-VE"/>
              </w:rPr>
              <w:t xml:space="preserve"> de familia tiene entre 18 y 24 años, proceda con la evaluación. </w:t>
            </w:r>
          </w:p>
          <w:p w14:paraId="175B2DDC" w14:textId="473F20BA" w:rsidR="007271AD" w:rsidRPr="004945E1" w:rsidRDefault="00FB26D9">
            <w:pPr>
              <w:spacing w:after="160" w:line="256" w:lineRule="auto"/>
              <w:rPr>
                <w:i/>
                <w:sz w:val="22"/>
                <w:lang w:val="es-VE"/>
              </w:rPr>
            </w:pPr>
            <w:r w:rsidRPr="004945E1">
              <w:rPr>
                <w:i/>
                <w:sz w:val="22"/>
                <w:lang w:val="es-VE"/>
              </w:rPr>
              <w:t xml:space="preserve">Si el </w:t>
            </w:r>
            <w:r w:rsidR="00D710BF" w:rsidRPr="004945E1">
              <w:rPr>
                <w:i/>
                <w:sz w:val="22"/>
                <w:lang w:val="es-VE"/>
              </w:rPr>
              <w:t>jefe</w:t>
            </w:r>
            <w:r w:rsidRPr="004945E1">
              <w:rPr>
                <w:i/>
                <w:sz w:val="22"/>
                <w:lang w:val="es-VE"/>
              </w:rPr>
              <w:t xml:space="preserve"> de familia NO tiene entre 18 y 24 años, deténgase y no complete la evaluación. En su lugar, haga una derivación a un recurso de Prevención, vea una lista en la página 20. Notifique al personal de CE de CoC sobre la remisión enviando las dos primeras secciones de la herramienta de evaluación. </w:t>
            </w:r>
          </w:p>
          <w:p w14:paraId="4B37A368" w14:textId="6C13C1D1" w:rsidR="007271AD" w:rsidRPr="004945E1" w:rsidRDefault="00FB26D9">
            <w:pPr>
              <w:spacing w:after="160" w:line="256" w:lineRule="auto"/>
              <w:rPr>
                <w:i/>
                <w:iCs/>
                <w:sz w:val="22"/>
                <w:lang w:val="es-VE"/>
              </w:rPr>
            </w:pPr>
            <w:r w:rsidRPr="004945E1">
              <w:rPr>
                <w:i/>
                <w:sz w:val="22"/>
                <w:lang w:val="es-VE"/>
              </w:rPr>
              <w:t xml:space="preserve">Tenga en cuenta que la razón por la que no se avanza con la evaluación para personas y familias mayores de 25 años que están en riesgo es porque ninguno de los recursos financiados por CoC puede </w:t>
            </w:r>
            <w:r w:rsidRPr="004945E1">
              <w:rPr>
                <w:i/>
                <w:sz w:val="22"/>
                <w:lang w:val="es-VE"/>
              </w:rPr>
              <w:lastRenderedPageBreak/>
              <w:t xml:space="preserve">servir a esa población en este momento. Si hay un recurso disponible a través de CE además de </w:t>
            </w:r>
            <w:r w:rsidR="00997A70" w:rsidRPr="004945E1">
              <w:rPr>
                <w:i/>
                <w:sz w:val="22"/>
                <w:lang w:val="es-VE"/>
              </w:rPr>
              <w:t xml:space="preserve">la Prevención </w:t>
            </w:r>
            <w:r w:rsidRPr="004945E1">
              <w:rPr>
                <w:i/>
                <w:sz w:val="22"/>
                <w:lang w:val="es-VE"/>
              </w:rPr>
              <w:t xml:space="preserve">ESG, CoC notificará a los socios y Evaluadores de CE y esta práctica puede cambiar. </w:t>
            </w:r>
          </w:p>
        </w:tc>
      </w:tr>
      <w:tr w:rsidR="007271AD" w:rsidRPr="004945E1" w14:paraId="5922C497" w14:textId="77777777">
        <w:tc>
          <w:tcPr>
            <w:tcW w:w="5813" w:type="dxa"/>
          </w:tcPr>
          <w:p w14:paraId="6B8E9837" w14:textId="4EA8A6F0" w:rsidR="007271AD" w:rsidRPr="004945E1" w:rsidRDefault="00FB26D9">
            <w:pPr>
              <w:spacing w:after="160" w:line="256" w:lineRule="auto"/>
              <w:rPr>
                <w:sz w:val="22"/>
                <w:lang w:val="es-VE"/>
              </w:rPr>
            </w:pPr>
            <w:r w:rsidRPr="004945E1">
              <w:rPr>
                <w:sz w:val="22"/>
                <w:lang w:val="es-VE"/>
              </w:rPr>
              <w:lastRenderedPageBreak/>
              <w:t xml:space="preserve">Situación 4: Salir de la institución después de más de 90 días o menos de 90 días, pero no estaba sin hogar al ingresar y no pasó la noche sin hogar la noche anterior. </w:t>
            </w:r>
          </w:p>
        </w:tc>
        <w:tc>
          <w:tcPr>
            <w:tcW w:w="4978" w:type="dxa"/>
          </w:tcPr>
          <w:p w14:paraId="4CFAB9B6" w14:textId="763C42AE" w:rsidR="007271AD" w:rsidRPr="004945E1" w:rsidRDefault="00FB26D9">
            <w:pPr>
              <w:spacing w:after="160" w:line="256" w:lineRule="auto"/>
              <w:rPr>
                <w:sz w:val="22"/>
                <w:lang w:val="es-VE"/>
              </w:rPr>
            </w:pPr>
            <w:r w:rsidRPr="004945E1">
              <w:rPr>
                <w:sz w:val="22"/>
                <w:lang w:val="es-VE"/>
              </w:rPr>
              <w:t xml:space="preserve">Si el individuo sale de una institución en los siguientes escenarios, no continúe con la evaluación: </w:t>
            </w:r>
          </w:p>
          <w:p w14:paraId="70D6C956" w14:textId="7BCBE3D6" w:rsidR="007271AD" w:rsidRPr="004945E1" w:rsidRDefault="00FB26D9">
            <w:pPr>
              <w:pStyle w:val="ListParagraph"/>
              <w:numPr>
                <w:ilvl w:val="0"/>
                <w:numId w:val="28"/>
              </w:numPr>
              <w:spacing w:after="160" w:line="256" w:lineRule="auto"/>
              <w:rPr>
                <w:sz w:val="22"/>
                <w:lang w:val="es-VE"/>
              </w:rPr>
            </w:pPr>
            <w:r w:rsidRPr="004945E1">
              <w:rPr>
                <w:sz w:val="22"/>
                <w:lang w:val="es-VE"/>
              </w:rPr>
              <w:t>Salir después de permanecer en la institución por más de 90 días y no pasar la noche sin hogar la noche anterior</w:t>
            </w:r>
          </w:p>
          <w:p w14:paraId="125CACF9" w14:textId="2AD80903" w:rsidR="007271AD" w:rsidRPr="004945E1" w:rsidRDefault="00FB26D9">
            <w:pPr>
              <w:pStyle w:val="ListParagraph"/>
              <w:numPr>
                <w:ilvl w:val="0"/>
                <w:numId w:val="28"/>
              </w:numPr>
              <w:spacing w:after="160" w:line="256" w:lineRule="auto"/>
              <w:rPr>
                <w:sz w:val="22"/>
                <w:lang w:val="es-VE"/>
              </w:rPr>
            </w:pPr>
            <w:r w:rsidRPr="004945E1">
              <w:rPr>
                <w:sz w:val="22"/>
                <w:lang w:val="es-VE"/>
              </w:rPr>
              <w:t>Salir después de permanecer en la institución por menos de 90 días</w:t>
            </w:r>
            <w:r w:rsidR="00997A70" w:rsidRPr="004945E1">
              <w:rPr>
                <w:sz w:val="22"/>
                <w:lang w:val="es-VE"/>
              </w:rPr>
              <w:t>,</w:t>
            </w:r>
            <w:r w:rsidRPr="004945E1">
              <w:rPr>
                <w:sz w:val="22"/>
                <w:lang w:val="es-VE"/>
              </w:rPr>
              <w:t xml:space="preserve"> pero no estaba sin hogar cuando ingres</w:t>
            </w:r>
            <w:r w:rsidR="00997A70" w:rsidRPr="004945E1">
              <w:rPr>
                <w:sz w:val="22"/>
                <w:lang w:val="es-VE"/>
              </w:rPr>
              <w:t>ó</w:t>
            </w:r>
            <w:r w:rsidRPr="004945E1">
              <w:rPr>
                <w:sz w:val="22"/>
                <w:lang w:val="es-VE"/>
              </w:rPr>
              <w:t xml:space="preserve"> a la institución y no pas</w:t>
            </w:r>
            <w:r w:rsidR="00997A70" w:rsidRPr="004945E1">
              <w:rPr>
                <w:sz w:val="22"/>
                <w:lang w:val="es-VE"/>
              </w:rPr>
              <w:t>ó</w:t>
            </w:r>
            <w:r w:rsidRPr="004945E1">
              <w:rPr>
                <w:sz w:val="22"/>
                <w:lang w:val="es-VE"/>
              </w:rPr>
              <w:t xml:space="preserve"> la noche sin hogar la noche anterior</w:t>
            </w:r>
          </w:p>
          <w:p w14:paraId="1A30B1D4" w14:textId="04D950F7" w:rsidR="007271AD" w:rsidRPr="004945E1" w:rsidRDefault="00FB26D9">
            <w:pPr>
              <w:spacing w:after="160" w:line="256" w:lineRule="auto"/>
              <w:rPr>
                <w:sz w:val="22"/>
                <w:lang w:val="es-VE"/>
              </w:rPr>
            </w:pPr>
            <w:r w:rsidRPr="004945E1">
              <w:rPr>
                <w:sz w:val="22"/>
                <w:lang w:val="es-VE"/>
              </w:rPr>
              <w:t xml:space="preserve">Para aclarar, si la persona está saliendo de una institución y pasó la noche anterior sin hogar (cumple con la Situación 1), continúe. Si la persona está en una institución por menos de 90 días y estaba sin hogar cuando ingresó a la institución y no tiene un plan de vivienda para salir, continúe. </w:t>
            </w:r>
          </w:p>
        </w:tc>
      </w:tr>
      <w:tr w:rsidR="007271AD" w:rsidRPr="004945E1" w14:paraId="456BC4A1" w14:textId="77777777">
        <w:trPr>
          <w:trHeight w:val="440"/>
        </w:trPr>
        <w:tc>
          <w:tcPr>
            <w:tcW w:w="5813" w:type="dxa"/>
          </w:tcPr>
          <w:p w14:paraId="25DCC600" w14:textId="341DD589" w:rsidR="007271AD" w:rsidRPr="004945E1" w:rsidRDefault="00FB26D9">
            <w:pPr>
              <w:spacing w:after="160" w:line="256" w:lineRule="auto"/>
              <w:rPr>
                <w:sz w:val="22"/>
                <w:lang w:val="es-VE"/>
              </w:rPr>
            </w:pPr>
            <w:r w:rsidRPr="004945E1">
              <w:rPr>
                <w:sz w:val="22"/>
                <w:lang w:val="es-VE"/>
              </w:rPr>
              <w:t xml:space="preserve">Situación 5: Está experimentando la situación 1 y 2 Y ha servido en las fuerzas armadas o militares. </w:t>
            </w:r>
          </w:p>
        </w:tc>
        <w:tc>
          <w:tcPr>
            <w:tcW w:w="4978" w:type="dxa"/>
          </w:tcPr>
          <w:p w14:paraId="21A4AC1E" w14:textId="305B3077" w:rsidR="007271AD" w:rsidRPr="004945E1" w:rsidRDefault="00FB26D9">
            <w:pPr>
              <w:spacing w:after="160" w:line="256" w:lineRule="auto"/>
              <w:rPr>
                <w:i/>
                <w:sz w:val="22"/>
                <w:lang w:val="es-VE"/>
              </w:rPr>
            </w:pPr>
            <w:r w:rsidRPr="004945E1">
              <w:rPr>
                <w:i/>
                <w:sz w:val="22"/>
                <w:lang w:val="es-VE"/>
              </w:rPr>
              <w:t>Si una persona o familia está experimentando la situación 1 o 2 y ha servido en las fuerzas armadas o militares, proceda con la evaluación y avise a uno de los puntos de contacto de veteranos de CE para una revisión de servicio acelerada, consulte la lista en la página 20.</w:t>
            </w:r>
          </w:p>
        </w:tc>
      </w:tr>
    </w:tbl>
    <w:p w14:paraId="4BB369D2" w14:textId="46D6C2B6" w:rsidR="007271AD" w:rsidRPr="004945E1" w:rsidRDefault="007271AD">
      <w:pPr>
        <w:spacing w:after="160" w:line="259" w:lineRule="auto"/>
        <w:contextualSpacing/>
        <w:rPr>
          <w:sz w:val="22"/>
          <w:lang w:val="es-VE"/>
        </w:rPr>
      </w:pPr>
    </w:p>
    <w:p w14:paraId="37F8A81E" w14:textId="77777777" w:rsidR="007271AD" w:rsidRPr="004945E1" w:rsidRDefault="007271AD">
      <w:pPr>
        <w:spacing w:after="160" w:line="259" w:lineRule="auto"/>
        <w:contextualSpacing/>
        <w:rPr>
          <w:sz w:val="22"/>
          <w:lang w:val="es-VE"/>
        </w:rPr>
      </w:pPr>
    </w:p>
    <w:tbl>
      <w:tblPr>
        <w:tblStyle w:val="TableGrid"/>
        <w:tblW w:w="10791" w:type="dxa"/>
        <w:tblLook w:val="04A0" w:firstRow="1" w:lastRow="0" w:firstColumn="1" w:lastColumn="0" w:noHBand="0" w:noVBand="1"/>
      </w:tblPr>
      <w:tblGrid>
        <w:gridCol w:w="5813"/>
        <w:gridCol w:w="4978"/>
      </w:tblGrid>
      <w:tr w:rsidR="007271AD" w:rsidRPr="004945E1" w14:paraId="5C7EB410" w14:textId="77777777">
        <w:tc>
          <w:tcPr>
            <w:tcW w:w="10791" w:type="dxa"/>
            <w:gridSpan w:val="2"/>
          </w:tcPr>
          <w:p w14:paraId="71D28A0A" w14:textId="77777777" w:rsidR="007271AD" w:rsidRPr="004945E1" w:rsidRDefault="00FB26D9">
            <w:pPr>
              <w:spacing w:after="160" w:line="256" w:lineRule="auto"/>
              <w:jc w:val="center"/>
              <w:rPr>
                <w:i/>
                <w:sz w:val="20"/>
                <w:lang w:val="es-VE"/>
              </w:rPr>
            </w:pPr>
            <w:r w:rsidRPr="004945E1">
              <w:rPr>
                <w:b/>
                <w:sz w:val="28"/>
                <w:u w:val="single"/>
                <w:lang w:val="es-VE"/>
              </w:rPr>
              <w:t>Sección 4: Ubicación y preferencia de vivienda</w:t>
            </w:r>
            <w:r w:rsidRPr="004945E1">
              <w:rPr>
                <w:i/>
                <w:sz w:val="20"/>
                <w:lang w:val="es-VE"/>
              </w:rPr>
              <w:t xml:space="preserve"> </w:t>
            </w:r>
          </w:p>
          <w:p w14:paraId="14B41B0E" w14:textId="35068B48" w:rsidR="007271AD" w:rsidRPr="004945E1" w:rsidRDefault="00FB26D9">
            <w:pPr>
              <w:spacing w:after="160" w:line="256" w:lineRule="auto"/>
              <w:jc w:val="center"/>
              <w:rPr>
                <w:i/>
                <w:sz w:val="22"/>
                <w:lang w:val="es-VE"/>
              </w:rPr>
            </w:pPr>
            <w:r w:rsidRPr="004945E1">
              <w:rPr>
                <w:i/>
                <w:sz w:val="20"/>
                <w:lang w:val="es-VE"/>
              </w:rPr>
              <w:t>El propósito de esta sección es identificar todas las regiones donde una persona o familia está dispuesta a recibir servicios y vivienda.</w:t>
            </w:r>
          </w:p>
        </w:tc>
      </w:tr>
      <w:tr w:rsidR="007271AD" w:rsidRPr="004945E1" w14:paraId="3C5937B8" w14:textId="77777777">
        <w:tc>
          <w:tcPr>
            <w:tcW w:w="5813" w:type="dxa"/>
            <w:hideMark/>
          </w:tcPr>
          <w:p w14:paraId="03CEAAB3" w14:textId="6C8012DE" w:rsidR="007271AD" w:rsidRPr="004945E1" w:rsidRDefault="00FB26D9">
            <w:pPr>
              <w:spacing w:after="160" w:line="256" w:lineRule="auto"/>
              <w:jc w:val="center"/>
              <w:rPr>
                <w:b/>
                <w:sz w:val="22"/>
                <w:lang w:val="es-VE"/>
              </w:rPr>
            </w:pPr>
            <w:r w:rsidRPr="004945E1">
              <w:rPr>
                <w:b/>
                <w:sz w:val="22"/>
                <w:lang w:val="es-VE"/>
              </w:rPr>
              <w:t>Opciones de ubicación de viviendas</w:t>
            </w:r>
          </w:p>
        </w:tc>
        <w:tc>
          <w:tcPr>
            <w:tcW w:w="4978" w:type="dxa"/>
            <w:hideMark/>
          </w:tcPr>
          <w:p w14:paraId="2A77432F" w14:textId="77777777" w:rsidR="007271AD" w:rsidRPr="004945E1" w:rsidRDefault="00FB26D9">
            <w:pPr>
              <w:spacing w:after="160" w:line="256" w:lineRule="auto"/>
              <w:jc w:val="center"/>
              <w:rPr>
                <w:b/>
                <w:sz w:val="22"/>
                <w:lang w:val="es-VE"/>
              </w:rPr>
            </w:pPr>
            <w:r w:rsidRPr="004945E1">
              <w:rPr>
                <w:b/>
                <w:sz w:val="22"/>
                <w:lang w:val="es-VE"/>
              </w:rPr>
              <w:t>Aclaración y ejemplos</w:t>
            </w:r>
          </w:p>
        </w:tc>
      </w:tr>
      <w:tr w:rsidR="007271AD" w:rsidRPr="004945E1" w14:paraId="10A5A1E1" w14:textId="77777777">
        <w:trPr>
          <w:trHeight w:val="755"/>
        </w:trPr>
        <w:tc>
          <w:tcPr>
            <w:tcW w:w="5813" w:type="dxa"/>
          </w:tcPr>
          <w:p w14:paraId="2FE3258C" w14:textId="77777777" w:rsidR="007271AD" w:rsidRPr="004945E1" w:rsidRDefault="00FB26D9">
            <w:pPr>
              <w:pStyle w:val="BodyText"/>
              <w:numPr>
                <w:ilvl w:val="0"/>
                <w:numId w:val="29"/>
              </w:numPr>
              <w:tabs>
                <w:tab w:val="left" w:pos="1048"/>
                <w:tab w:val="left" w:pos="6182"/>
                <w:tab w:val="left" w:pos="6718"/>
              </w:tabs>
              <w:spacing w:before="49"/>
              <w:rPr>
                <w:sz w:val="22"/>
                <w:lang w:val="es-VE"/>
              </w:rPr>
            </w:pPr>
            <w:r w:rsidRPr="004945E1">
              <w:rPr>
                <w:sz w:val="22"/>
                <w:lang w:val="es-VE"/>
              </w:rPr>
              <w:t xml:space="preserve">Condado de Franklin – área de Greenfield – incluye Deerfield, Turners Falls, etc. </w:t>
            </w:r>
          </w:p>
          <w:p w14:paraId="38244B22" w14:textId="24E652D5" w:rsidR="007271AD" w:rsidRPr="004945E1" w:rsidRDefault="00FB26D9">
            <w:pPr>
              <w:pStyle w:val="BodyText"/>
              <w:numPr>
                <w:ilvl w:val="0"/>
                <w:numId w:val="29"/>
              </w:numPr>
              <w:tabs>
                <w:tab w:val="left" w:pos="1048"/>
                <w:tab w:val="left" w:pos="6182"/>
                <w:tab w:val="left" w:pos="6718"/>
              </w:tabs>
              <w:spacing w:before="49"/>
              <w:rPr>
                <w:sz w:val="22"/>
                <w:lang w:val="es-VE"/>
              </w:rPr>
            </w:pPr>
            <w:r w:rsidRPr="004945E1">
              <w:rPr>
                <w:sz w:val="22"/>
                <w:lang w:val="es-VE"/>
              </w:rPr>
              <w:t>Condado de Franklin – parte este/área naranja</w:t>
            </w:r>
          </w:p>
          <w:p w14:paraId="63631C52" w14:textId="6096C7EC" w:rsidR="007271AD" w:rsidRPr="004945E1" w:rsidRDefault="00FB26D9">
            <w:pPr>
              <w:pStyle w:val="BodyText"/>
              <w:numPr>
                <w:ilvl w:val="0"/>
                <w:numId w:val="29"/>
              </w:numPr>
              <w:tabs>
                <w:tab w:val="left" w:pos="1048"/>
                <w:tab w:val="left" w:pos="6182"/>
                <w:tab w:val="left" w:pos="6718"/>
              </w:tabs>
              <w:spacing w:before="49"/>
              <w:rPr>
                <w:sz w:val="22"/>
                <w:lang w:val="es-VE"/>
              </w:rPr>
            </w:pPr>
            <w:r w:rsidRPr="004945E1">
              <w:rPr>
                <w:sz w:val="22"/>
                <w:lang w:val="es-VE"/>
              </w:rPr>
              <w:t xml:space="preserve">Condado de Franklin – parte occidental/área de Charlemont </w:t>
            </w:r>
          </w:p>
          <w:p w14:paraId="6C426A86" w14:textId="6BC1F5A0" w:rsidR="007271AD" w:rsidRPr="004945E1" w:rsidRDefault="00FB26D9">
            <w:pPr>
              <w:pStyle w:val="BodyText"/>
              <w:numPr>
                <w:ilvl w:val="0"/>
                <w:numId w:val="29"/>
              </w:numPr>
              <w:tabs>
                <w:tab w:val="left" w:pos="1048"/>
                <w:tab w:val="left" w:pos="6182"/>
                <w:tab w:val="left" w:pos="6718"/>
              </w:tabs>
              <w:spacing w:before="49"/>
              <w:rPr>
                <w:sz w:val="22"/>
                <w:lang w:val="es-VE"/>
              </w:rPr>
            </w:pPr>
            <w:r w:rsidRPr="004945E1">
              <w:rPr>
                <w:sz w:val="22"/>
                <w:lang w:val="es-VE"/>
              </w:rPr>
              <w:t>Hampshire – área de Amherst – incluye Sunderland, Belchertown, etc.</w:t>
            </w:r>
          </w:p>
          <w:p w14:paraId="4AFD96BB" w14:textId="1BF1759C" w:rsidR="007271AD" w:rsidRPr="004945E1" w:rsidRDefault="00FB26D9">
            <w:pPr>
              <w:pStyle w:val="BodyText"/>
              <w:numPr>
                <w:ilvl w:val="0"/>
                <w:numId w:val="29"/>
              </w:numPr>
              <w:tabs>
                <w:tab w:val="left" w:pos="1048"/>
                <w:tab w:val="left" w:pos="6182"/>
                <w:tab w:val="left" w:pos="6718"/>
              </w:tabs>
              <w:spacing w:before="49"/>
              <w:rPr>
                <w:sz w:val="22"/>
                <w:lang w:val="es-VE"/>
              </w:rPr>
            </w:pPr>
            <w:r w:rsidRPr="004945E1">
              <w:rPr>
                <w:sz w:val="22"/>
                <w:lang w:val="es-VE"/>
              </w:rPr>
              <w:t xml:space="preserve">Hampshire – área de Northampton – incluye Easthampton, Florencia, etc. </w:t>
            </w:r>
          </w:p>
          <w:p w14:paraId="7D8C6E1B" w14:textId="2204FBAC" w:rsidR="007271AD" w:rsidRPr="004945E1" w:rsidRDefault="00FB26D9">
            <w:pPr>
              <w:pStyle w:val="BodyText"/>
              <w:numPr>
                <w:ilvl w:val="0"/>
                <w:numId w:val="29"/>
              </w:numPr>
              <w:tabs>
                <w:tab w:val="left" w:pos="1048"/>
                <w:tab w:val="left" w:pos="6182"/>
                <w:tab w:val="left" w:pos="6718"/>
              </w:tabs>
              <w:spacing w:before="49"/>
              <w:rPr>
                <w:sz w:val="22"/>
                <w:lang w:val="es-VE"/>
              </w:rPr>
            </w:pPr>
            <w:r w:rsidRPr="004945E1">
              <w:rPr>
                <w:sz w:val="22"/>
                <w:lang w:val="es-VE"/>
              </w:rPr>
              <w:t xml:space="preserve">Hampshire – Hilltowns – incluye Williamsburg </w:t>
            </w:r>
          </w:p>
          <w:p w14:paraId="0F68EA69" w14:textId="3212A52B" w:rsidR="007271AD" w:rsidRPr="004945E1" w:rsidRDefault="00FB26D9">
            <w:pPr>
              <w:pStyle w:val="BodyText"/>
              <w:numPr>
                <w:ilvl w:val="0"/>
                <w:numId w:val="29"/>
              </w:numPr>
              <w:tabs>
                <w:tab w:val="left" w:pos="1048"/>
                <w:tab w:val="left" w:pos="6182"/>
                <w:tab w:val="left" w:pos="6718"/>
              </w:tabs>
              <w:spacing w:before="49"/>
              <w:rPr>
                <w:sz w:val="22"/>
                <w:lang w:val="es-VE"/>
              </w:rPr>
            </w:pPr>
            <w:r w:rsidRPr="004945E1">
              <w:rPr>
                <w:sz w:val="22"/>
                <w:lang w:val="es-VE"/>
              </w:rPr>
              <w:lastRenderedPageBreak/>
              <w:t xml:space="preserve">Berkshire – área de Pittsfield – incluye el centro de Berkshire </w:t>
            </w:r>
          </w:p>
          <w:p w14:paraId="58B86343" w14:textId="77777777" w:rsidR="007271AD" w:rsidRPr="004945E1" w:rsidRDefault="00FB26D9">
            <w:pPr>
              <w:pStyle w:val="BodyText"/>
              <w:numPr>
                <w:ilvl w:val="0"/>
                <w:numId w:val="29"/>
              </w:numPr>
              <w:tabs>
                <w:tab w:val="left" w:pos="1048"/>
                <w:tab w:val="left" w:pos="6182"/>
                <w:tab w:val="left" w:pos="6718"/>
              </w:tabs>
              <w:spacing w:before="49"/>
              <w:rPr>
                <w:sz w:val="22"/>
                <w:lang w:val="es-VE"/>
              </w:rPr>
            </w:pPr>
            <w:r w:rsidRPr="004945E1">
              <w:rPr>
                <w:sz w:val="22"/>
                <w:lang w:val="es-VE"/>
              </w:rPr>
              <w:t xml:space="preserve">Berkshire – área de North County – incluye North Adams, Adams, etc. </w:t>
            </w:r>
          </w:p>
          <w:p w14:paraId="545C0CAB" w14:textId="6232FA47" w:rsidR="007271AD" w:rsidRPr="004945E1" w:rsidRDefault="00FB26D9">
            <w:pPr>
              <w:pStyle w:val="BodyText"/>
              <w:numPr>
                <w:ilvl w:val="0"/>
                <w:numId w:val="29"/>
              </w:numPr>
              <w:tabs>
                <w:tab w:val="left" w:pos="1048"/>
                <w:tab w:val="left" w:pos="6182"/>
                <w:tab w:val="left" w:pos="6718"/>
              </w:tabs>
              <w:spacing w:before="49"/>
              <w:rPr>
                <w:sz w:val="22"/>
                <w:lang w:val="es-VE"/>
              </w:rPr>
            </w:pPr>
            <w:r w:rsidRPr="004945E1">
              <w:rPr>
                <w:sz w:val="22"/>
                <w:lang w:val="es-VE"/>
              </w:rPr>
              <w:t xml:space="preserve">Berkshire – área de South County – incluye Great Barrington, etc. </w:t>
            </w:r>
          </w:p>
          <w:p w14:paraId="45BB58EC" w14:textId="57254BC6" w:rsidR="007271AD" w:rsidRPr="004945E1" w:rsidRDefault="00FB26D9">
            <w:pPr>
              <w:pStyle w:val="BodyText"/>
              <w:numPr>
                <w:ilvl w:val="0"/>
                <w:numId w:val="29"/>
              </w:numPr>
              <w:tabs>
                <w:tab w:val="left" w:pos="1048"/>
                <w:tab w:val="left" w:pos="6182"/>
                <w:tab w:val="left" w:pos="6718"/>
              </w:tabs>
              <w:spacing w:before="49"/>
              <w:rPr>
                <w:sz w:val="22"/>
                <w:lang w:val="es-VE"/>
              </w:rPr>
            </w:pPr>
            <w:r w:rsidRPr="004945E1">
              <w:rPr>
                <w:sz w:val="22"/>
                <w:lang w:val="es-VE"/>
              </w:rPr>
              <w:t xml:space="preserve">Otro </w:t>
            </w:r>
          </w:p>
        </w:tc>
        <w:tc>
          <w:tcPr>
            <w:tcW w:w="4978" w:type="dxa"/>
          </w:tcPr>
          <w:p w14:paraId="3B5A4213" w14:textId="73A65F3C" w:rsidR="007271AD" w:rsidRPr="004945E1" w:rsidRDefault="00FB26D9">
            <w:pPr>
              <w:spacing w:after="160" w:line="256" w:lineRule="auto"/>
              <w:rPr>
                <w:i/>
                <w:sz w:val="22"/>
                <w:lang w:val="es-VE"/>
              </w:rPr>
            </w:pPr>
            <w:r w:rsidRPr="004945E1">
              <w:rPr>
                <w:i/>
                <w:sz w:val="22"/>
                <w:lang w:val="es-VE"/>
              </w:rPr>
              <w:lastRenderedPageBreak/>
              <w:t xml:space="preserve">Seleccione todas las opciones en las que una persona esté dispuesta a recibir servicios y vivienda. Si bien el sistema de CE está diseñado con el objetivo de ofrecer opciones dentro de la preferencia de vivienda de alguien, es importante registrar todas las áreas posibles para maximizar las opciones de vivienda disponibles. Las personas y las familias pueden rechazar las ofertas de vivienda a través de CE sin consecuencias. Si se hace una oferta de vivienda, el </w:t>
            </w:r>
            <w:r w:rsidRPr="004945E1">
              <w:rPr>
                <w:i/>
                <w:sz w:val="22"/>
                <w:lang w:val="es-VE"/>
              </w:rPr>
              <w:lastRenderedPageBreak/>
              <w:t xml:space="preserve">hogar puede rechazarla y permanecer en la Lista por Nombres. </w:t>
            </w:r>
          </w:p>
        </w:tc>
      </w:tr>
      <w:tr w:rsidR="007271AD" w:rsidRPr="004945E1" w14:paraId="58508768" w14:textId="77777777">
        <w:trPr>
          <w:trHeight w:val="1295"/>
        </w:trPr>
        <w:tc>
          <w:tcPr>
            <w:tcW w:w="5813" w:type="dxa"/>
          </w:tcPr>
          <w:p w14:paraId="3D3FF973" w14:textId="4CA335B0" w:rsidR="007271AD" w:rsidRPr="004945E1" w:rsidRDefault="00FB26D9">
            <w:pPr>
              <w:spacing w:after="160" w:line="256" w:lineRule="auto"/>
              <w:rPr>
                <w:sz w:val="22"/>
                <w:lang w:val="es-VE"/>
              </w:rPr>
            </w:pPr>
            <w:r w:rsidRPr="004945E1">
              <w:rPr>
                <w:sz w:val="22"/>
                <w:lang w:val="es-VE"/>
              </w:rPr>
              <w:lastRenderedPageBreak/>
              <w:t>Indique si hay algún lugar donde NO desea vivir</w:t>
            </w:r>
          </w:p>
          <w:p w14:paraId="5A5179E8" w14:textId="77777777" w:rsidR="007271AD" w:rsidRPr="004945E1" w:rsidRDefault="007271AD">
            <w:pPr>
              <w:spacing w:after="160" w:line="256" w:lineRule="auto"/>
              <w:rPr>
                <w:b/>
                <w:sz w:val="22"/>
                <w:lang w:val="es-VE"/>
              </w:rPr>
            </w:pPr>
          </w:p>
        </w:tc>
        <w:tc>
          <w:tcPr>
            <w:tcW w:w="4978" w:type="dxa"/>
          </w:tcPr>
          <w:p w14:paraId="65BCCB4F" w14:textId="3CE36589" w:rsidR="007271AD" w:rsidRPr="004945E1" w:rsidRDefault="00FB26D9">
            <w:pPr>
              <w:spacing w:after="160" w:line="256" w:lineRule="auto"/>
              <w:rPr>
                <w:i/>
                <w:sz w:val="22"/>
                <w:lang w:val="es-VE"/>
              </w:rPr>
            </w:pPr>
            <w:r w:rsidRPr="004945E1">
              <w:rPr>
                <w:i/>
                <w:sz w:val="22"/>
                <w:lang w:val="es-VE"/>
              </w:rPr>
              <w:t xml:space="preserve">Indique si hay un lugar en el que la persona o la familia NO desea vivir y el personal de CE de CoC se asegurará de que no se le ofrezca vivienda a la familia en ese lugar. </w:t>
            </w:r>
          </w:p>
          <w:p w14:paraId="16D08379" w14:textId="77777777" w:rsidR="007271AD" w:rsidRPr="004945E1" w:rsidRDefault="007271AD">
            <w:pPr>
              <w:spacing w:after="160" w:line="256" w:lineRule="auto"/>
              <w:rPr>
                <w:sz w:val="22"/>
                <w:lang w:val="es-VE"/>
              </w:rPr>
            </w:pPr>
          </w:p>
        </w:tc>
      </w:tr>
    </w:tbl>
    <w:p w14:paraId="789E5B7F" w14:textId="5C02E9C6" w:rsidR="007271AD" w:rsidRPr="004945E1" w:rsidRDefault="007271AD">
      <w:pPr>
        <w:spacing w:after="160" w:line="259" w:lineRule="auto"/>
        <w:contextualSpacing/>
        <w:rPr>
          <w:sz w:val="22"/>
          <w:lang w:val="es-VE"/>
        </w:rPr>
      </w:pPr>
    </w:p>
    <w:tbl>
      <w:tblPr>
        <w:tblStyle w:val="TableGrid"/>
        <w:tblW w:w="10791" w:type="dxa"/>
        <w:tblLook w:val="04A0" w:firstRow="1" w:lastRow="0" w:firstColumn="1" w:lastColumn="0" w:noHBand="0" w:noVBand="1"/>
      </w:tblPr>
      <w:tblGrid>
        <w:gridCol w:w="5813"/>
        <w:gridCol w:w="4978"/>
      </w:tblGrid>
      <w:tr w:rsidR="007271AD" w:rsidRPr="004945E1" w14:paraId="40F7B079" w14:textId="77777777">
        <w:tc>
          <w:tcPr>
            <w:tcW w:w="10791" w:type="dxa"/>
            <w:gridSpan w:val="2"/>
          </w:tcPr>
          <w:p w14:paraId="34F74B3D" w14:textId="77777777" w:rsidR="007271AD" w:rsidRPr="004945E1" w:rsidRDefault="00FB26D9">
            <w:pPr>
              <w:spacing w:after="160" w:line="256" w:lineRule="auto"/>
              <w:jc w:val="center"/>
              <w:rPr>
                <w:b/>
                <w:sz w:val="28"/>
                <w:u w:val="single"/>
                <w:lang w:val="es-VE"/>
              </w:rPr>
            </w:pPr>
            <w:r w:rsidRPr="004945E1">
              <w:rPr>
                <w:b/>
                <w:sz w:val="28"/>
                <w:u w:val="single"/>
                <w:lang w:val="es-VE"/>
              </w:rPr>
              <w:t>Sección 5: Notas para la resolución de problemas de vivienda</w:t>
            </w:r>
          </w:p>
          <w:p w14:paraId="288CE9F2" w14:textId="0E0E33DC" w:rsidR="007271AD" w:rsidRPr="004945E1" w:rsidRDefault="00FB26D9">
            <w:pPr>
              <w:spacing w:after="160" w:line="256" w:lineRule="auto"/>
              <w:jc w:val="center"/>
              <w:rPr>
                <w:i/>
                <w:sz w:val="22"/>
                <w:lang w:val="es-VE"/>
              </w:rPr>
            </w:pPr>
            <w:r w:rsidRPr="004945E1">
              <w:rPr>
                <w:i/>
                <w:sz w:val="20"/>
                <w:lang w:val="es-VE"/>
              </w:rPr>
              <w:t>Los enfoques de resolución de problemas de vivienda respaldan la implementación efectiva de estrategias de prevención, desviación y salida rápida de personas sin hogar, que deben ser parte de cada proceso de CE y ofrecerse como posibles vías de vivienda para todas las poblaciones. El propósito de esta sección es alentar el uso de este enfoque y recopilar información para ayudar a los socios de CE a identificar recursos sin explotar y mejorar las posibilidades de una resolución de vivienda rápida y permanente.</w:t>
            </w:r>
          </w:p>
        </w:tc>
      </w:tr>
      <w:tr w:rsidR="007271AD" w:rsidRPr="004945E1" w14:paraId="594B8F19" w14:textId="77777777">
        <w:tc>
          <w:tcPr>
            <w:tcW w:w="5813" w:type="dxa"/>
            <w:hideMark/>
          </w:tcPr>
          <w:p w14:paraId="7939D756" w14:textId="0BA0B2DC" w:rsidR="007271AD" w:rsidRPr="004945E1" w:rsidRDefault="00FB26D9">
            <w:pPr>
              <w:spacing w:after="160" w:line="256" w:lineRule="auto"/>
              <w:jc w:val="center"/>
              <w:rPr>
                <w:b/>
                <w:sz w:val="22"/>
                <w:lang w:val="es-VE"/>
              </w:rPr>
            </w:pPr>
            <w:r w:rsidRPr="004945E1">
              <w:rPr>
                <w:b/>
                <w:sz w:val="22"/>
                <w:lang w:val="es-VE"/>
              </w:rPr>
              <w:t>Aviso</w:t>
            </w:r>
          </w:p>
        </w:tc>
        <w:tc>
          <w:tcPr>
            <w:tcW w:w="4978" w:type="dxa"/>
            <w:hideMark/>
          </w:tcPr>
          <w:p w14:paraId="17815FF9" w14:textId="77777777" w:rsidR="007271AD" w:rsidRPr="004945E1" w:rsidRDefault="00FB26D9">
            <w:pPr>
              <w:spacing w:after="160" w:line="256" w:lineRule="auto"/>
              <w:jc w:val="center"/>
              <w:rPr>
                <w:b/>
                <w:sz w:val="22"/>
                <w:lang w:val="es-VE"/>
              </w:rPr>
            </w:pPr>
            <w:r w:rsidRPr="004945E1">
              <w:rPr>
                <w:b/>
                <w:sz w:val="22"/>
                <w:lang w:val="es-VE"/>
              </w:rPr>
              <w:t>Aclaración y ejemplos</w:t>
            </w:r>
          </w:p>
        </w:tc>
      </w:tr>
      <w:tr w:rsidR="007271AD" w:rsidRPr="004945E1" w14:paraId="5B7BCBCC" w14:textId="77777777">
        <w:trPr>
          <w:trHeight w:val="755"/>
        </w:trPr>
        <w:tc>
          <w:tcPr>
            <w:tcW w:w="5813" w:type="dxa"/>
          </w:tcPr>
          <w:p w14:paraId="54CBCDE0" w14:textId="269FB299" w:rsidR="007271AD" w:rsidRPr="004945E1" w:rsidRDefault="00FB26D9">
            <w:pPr>
              <w:pStyle w:val="BodyText"/>
              <w:tabs>
                <w:tab w:val="left" w:pos="1048"/>
                <w:tab w:val="left" w:pos="6182"/>
                <w:tab w:val="left" w:pos="6718"/>
              </w:tabs>
              <w:spacing w:before="49"/>
              <w:rPr>
                <w:sz w:val="22"/>
                <w:lang w:val="es-VE"/>
              </w:rPr>
            </w:pPr>
            <w:r w:rsidRPr="004945E1">
              <w:rPr>
                <w:sz w:val="22"/>
                <w:lang w:val="es-VE"/>
              </w:rPr>
              <w:t>Situación habitacional actual y contexto de crisis habitacional de los hogares</w:t>
            </w:r>
          </w:p>
        </w:tc>
        <w:tc>
          <w:tcPr>
            <w:tcW w:w="4978" w:type="dxa"/>
          </w:tcPr>
          <w:p w14:paraId="29A5DF7F" w14:textId="603EAFEB" w:rsidR="007271AD" w:rsidRPr="004945E1" w:rsidRDefault="00FB26D9">
            <w:pPr>
              <w:spacing w:after="160" w:line="256" w:lineRule="auto"/>
              <w:rPr>
                <w:i/>
                <w:sz w:val="22"/>
                <w:lang w:val="es-VE"/>
              </w:rPr>
            </w:pPr>
            <w:r w:rsidRPr="004945E1">
              <w:rPr>
                <w:i/>
                <w:sz w:val="22"/>
                <w:lang w:val="es-VE"/>
              </w:rPr>
              <w:t>Incluya cualquier nota relevante sobre la situación actual de la vivienda y el contexto de la crisis de vivienda del hogar. No proporcione ninguna información que el hogar no desee divulgar a los socios de CE y solo proporcione información relevante para la resolución de problemas de vivienda.</w:t>
            </w:r>
          </w:p>
        </w:tc>
      </w:tr>
      <w:tr w:rsidR="007271AD" w:rsidRPr="004945E1" w14:paraId="20EAB7E3" w14:textId="77777777">
        <w:tc>
          <w:tcPr>
            <w:tcW w:w="5813" w:type="dxa"/>
          </w:tcPr>
          <w:p w14:paraId="374647F2" w14:textId="5F1B019B" w:rsidR="007271AD" w:rsidRPr="004945E1" w:rsidRDefault="00FB26D9">
            <w:pPr>
              <w:spacing w:after="160" w:line="256" w:lineRule="auto"/>
              <w:rPr>
                <w:sz w:val="22"/>
                <w:lang w:val="es-VE"/>
              </w:rPr>
            </w:pPr>
            <w:r w:rsidRPr="004945E1">
              <w:rPr>
                <w:sz w:val="22"/>
                <w:lang w:val="es-VE"/>
              </w:rPr>
              <w:t>Barreras identificadas para mantener u obtener una vivienda permanente en el corto plazo</w:t>
            </w:r>
          </w:p>
          <w:p w14:paraId="1E42EBE7" w14:textId="77777777" w:rsidR="007271AD" w:rsidRPr="004945E1" w:rsidRDefault="007271AD">
            <w:pPr>
              <w:spacing w:after="160" w:line="256" w:lineRule="auto"/>
              <w:rPr>
                <w:b/>
                <w:sz w:val="22"/>
                <w:lang w:val="es-VE"/>
              </w:rPr>
            </w:pPr>
          </w:p>
        </w:tc>
        <w:tc>
          <w:tcPr>
            <w:tcW w:w="4978" w:type="dxa"/>
          </w:tcPr>
          <w:p w14:paraId="02C028D2" w14:textId="4FDA000E" w:rsidR="007271AD" w:rsidRPr="004945E1" w:rsidRDefault="00FB26D9">
            <w:pPr>
              <w:spacing w:after="160" w:line="256" w:lineRule="auto"/>
              <w:rPr>
                <w:sz w:val="22"/>
                <w:lang w:val="es-VE"/>
              </w:rPr>
            </w:pPr>
            <w:r w:rsidRPr="004945E1">
              <w:rPr>
                <w:i/>
                <w:sz w:val="22"/>
                <w:lang w:val="es-VE"/>
              </w:rPr>
              <w:t>Incluya cualquier nota relevante sobre las barreras identificadas para mantener u obtener una vivienda permanente en el plazo. Puede consultar las barreras mencionadas en la sección Consideraciones de Ajuste de Vivienda si es útil. No proporcione ninguna información que el hogar no desee divulgar a los socios de CE y solo proporcione información relevante para la resolución de problemas de vivienda.</w:t>
            </w:r>
          </w:p>
        </w:tc>
      </w:tr>
      <w:tr w:rsidR="007271AD" w:rsidRPr="004945E1" w14:paraId="5416B7A4" w14:textId="77777777">
        <w:tc>
          <w:tcPr>
            <w:tcW w:w="5813" w:type="dxa"/>
          </w:tcPr>
          <w:p w14:paraId="7534AFC8" w14:textId="69E96D1E" w:rsidR="007271AD" w:rsidRPr="004945E1" w:rsidRDefault="00FB26D9">
            <w:pPr>
              <w:spacing w:after="160" w:line="256" w:lineRule="auto"/>
              <w:rPr>
                <w:sz w:val="22"/>
                <w:lang w:val="es-VE"/>
              </w:rPr>
            </w:pPr>
            <w:r w:rsidRPr="004945E1">
              <w:rPr>
                <w:sz w:val="22"/>
                <w:lang w:val="es-VE"/>
              </w:rPr>
              <w:t>Oportunidades u otros recursos que pueden ayudar a vincular el hogar con la opción de vivienda permanente</w:t>
            </w:r>
          </w:p>
        </w:tc>
        <w:tc>
          <w:tcPr>
            <w:tcW w:w="4978" w:type="dxa"/>
          </w:tcPr>
          <w:p w14:paraId="01487755" w14:textId="1956EE9B" w:rsidR="007271AD" w:rsidRPr="004945E1" w:rsidRDefault="00FB26D9">
            <w:pPr>
              <w:spacing w:after="160" w:line="256" w:lineRule="auto"/>
              <w:rPr>
                <w:i/>
                <w:sz w:val="22"/>
                <w:lang w:val="es-VE"/>
              </w:rPr>
            </w:pPr>
            <w:r w:rsidRPr="004945E1">
              <w:rPr>
                <w:i/>
                <w:sz w:val="22"/>
                <w:lang w:val="es-VE"/>
              </w:rPr>
              <w:t xml:space="preserve">Incluya cualquier nota relevante sobre oportunidades u otros recursos que puedan ayudar a vincular el hogar con opciones de vivienda permanente. No proporcione ninguna información que el hogar no desee divulgar a los socios de CE y solo proporcione </w:t>
            </w:r>
            <w:r w:rsidRPr="004945E1">
              <w:rPr>
                <w:i/>
                <w:sz w:val="22"/>
                <w:lang w:val="es-VE"/>
              </w:rPr>
              <w:lastRenderedPageBreak/>
              <w:t>información relevante para la resolución de problemas de vivienda.</w:t>
            </w:r>
          </w:p>
        </w:tc>
      </w:tr>
    </w:tbl>
    <w:p w14:paraId="5D84B9E2" w14:textId="76030019" w:rsidR="007271AD" w:rsidRPr="004945E1" w:rsidRDefault="007271AD">
      <w:pPr>
        <w:spacing w:after="160" w:line="259" w:lineRule="auto"/>
        <w:contextualSpacing/>
        <w:rPr>
          <w:sz w:val="22"/>
          <w:lang w:val="es-VE"/>
        </w:rPr>
      </w:pPr>
    </w:p>
    <w:tbl>
      <w:tblPr>
        <w:tblStyle w:val="TableGrid"/>
        <w:tblW w:w="10791" w:type="dxa"/>
        <w:tblLook w:val="04A0" w:firstRow="1" w:lastRow="0" w:firstColumn="1" w:lastColumn="0" w:noHBand="0" w:noVBand="1"/>
      </w:tblPr>
      <w:tblGrid>
        <w:gridCol w:w="5813"/>
        <w:gridCol w:w="4978"/>
      </w:tblGrid>
      <w:tr w:rsidR="007271AD" w:rsidRPr="004945E1" w14:paraId="2C7B295E" w14:textId="77777777">
        <w:trPr>
          <w:trHeight w:val="70"/>
        </w:trPr>
        <w:tc>
          <w:tcPr>
            <w:tcW w:w="10791" w:type="dxa"/>
            <w:gridSpan w:val="2"/>
          </w:tcPr>
          <w:p w14:paraId="6175BDF1" w14:textId="204B1C14" w:rsidR="007271AD" w:rsidRPr="004945E1" w:rsidRDefault="00FB26D9">
            <w:pPr>
              <w:spacing w:after="160" w:line="256" w:lineRule="auto"/>
              <w:jc w:val="center"/>
              <w:rPr>
                <w:b/>
                <w:sz w:val="28"/>
                <w:u w:val="single"/>
                <w:lang w:val="es-VE"/>
              </w:rPr>
            </w:pPr>
            <w:r w:rsidRPr="004945E1">
              <w:rPr>
                <w:b/>
                <w:sz w:val="28"/>
                <w:u w:val="single"/>
                <w:lang w:val="es-VE"/>
              </w:rPr>
              <w:t>Sección 6: Evaluación de barreras de vivienda y vulnerabilidad</w:t>
            </w:r>
          </w:p>
          <w:p w14:paraId="736CB57B" w14:textId="1D0B8E22" w:rsidR="007271AD" w:rsidRPr="004945E1" w:rsidRDefault="00FB26D9">
            <w:pPr>
              <w:spacing w:after="160" w:line="256" w:lineRule="auto"/>
              <w:jc w:val="center"/>
              <w:rPr>
                <w:i/>
                <w:sz w:val="20"/>
                <w:lang w:val="es-VE"/>
              </w:rPr>
            </w:pPr>
            <w:r w:rsidRPr="004945E1">
              <w:rPr>
                <w:i/>
                <w:sz w:val="20"/>
                <w:lang w:val="es-VE"/>
              </w:rPr>
              <w:t>El propósito de esta sección es identificar las barreras de vivienda, incluidas las barreras sistémicas que resultan del racismo y otras formas de opresión, y otras vulnerabilidades, que se ponderan para producir un puntaje utilizado para priorizar los recursos de vivienda de los hogares.</w:t>
            </w:r>
          </w:p>
        </w:tc>
      </w:tr>
      <w:tr w:rsidR="007271AD" w:rsidRPr="004945E1" w14:paraId="6F284164" w14:textId="77777777">
        <w:tc>
          <w:tcPr>
            <w:tcW w:w="5813" w:type="dxa"/>
            <w:hideMark/>
          </w:tcPr>
          <w:p w14:paraId="0BEED464" w14:textId="1F41FD56" w:rsidR="007271AD" w:rsidRPr="004945E1" w:rsidRDefault="00FB26D9">
            <w:pPr>
              <w:spacing w:after="160" w:line="256" w:lineRule="auto"/>
              <w:jc w:val="center"/>
              <w:rPr>
                <w:b/>
                <w:sz w:val="22"/>
                <w:lang w:val="es-VE"/>
              </w:rPr>
            </w:pPr>
            <w:r w:rsidRPr="004945E1">
              <w:rPr>
                <w:b/>
                <w:sz w:val="22"/>
                <w:lang w:val="es-VE"/>
              </w:rPr>
              <w:t>Subsección</w:t>
            </w:r>
          </w:p>
        </w:tc>
        <w:tc>
          <w:tcPr>
            <w:tcW w:w="4978" w:type="dxa"/>
            <w:hideMark/>
          </w:tcPr>
          <w:p w14:paraId="6456C09D" w14:textId="77777777" w:rsidR="007271AD" w:rsidRPr="004945E1" w:rsidRDefault="00FB26D9">
            <w:pPr>
              <w:spacing w:after="160" w:line="256" w:lineRule="auto"/>
              <w:jc w:val="center"/>
              <w:rPr>
                <w:b/>
                <w:sz w:val="22"/>
                <w:lang w:val="es-VE"/>
              </w:rPr>
            </w:pPr>
            <w:r w:rsidRPr="004945E1">
              <w:rPr>
                <w:b/>
                <w:sz w:val="22"/>
                <w:lang w:val="es-VE"/>
              </w:rPr>
              <w:t>Aclaración y ejemplos</w:t>
            </w:r>
          </w:p>
        </w:tc>
      </w:tr>
      <w:tr w:rsidR="007271AD" w:rsidRPr="004945E1" w14:paraId="0BA4D80E" w14:textId="77777777">
        <w:trPr>
          <w:trHeight w:val="755"/>
        </w:trPr>
        <w:tc>
          <w:tcPr>
            <w:tcW w:w="5813" w:type="dxa"/>
          </w:tcPr>
          <w:p w14:paraId="1FB91D90" w14:textId="77777777" w:rsidR="007271AD" w:rsidRPr="004945E1" w:rsidRDefault="00FB26D9">
            <w:pPr>
              <w:pStyle w:val="BodyText"/>
              <w:tabs>
                <w:tab w:val="left" w:pos="1048"/>
                <w:tab w:val="left" w:pos="6182"/>
                <w:tab w:val="left" w:pos="6718"/>
              </w:tabs>
              <w:spacing w:before="49"/>
              <w:rPr>
                <w:b/>
                <w:sz w:val="22"/>
                <w:u w:val="single"/>
                <w:lang w:val="es-VE"/>
              </w:rPr>
            </w:pPr>
            <w:r w:rsidRPr="004945E1">
              <w:rPr>
                <w:b/>
                <w:sz w:val="22"/>
                <w:u w:val="single"/>
                <w:lang w:val="es-VE"/>
              </w:rPr>
              <w:t>Situación de vida actual</w:t>
            </w:r>
          </w:p>
          <w:p w14:paraId="72397E36" w14:textId="4E636F64" w:rsidR="007271AD" w:rsidRPr="004945E1" w:rsidRDefault="00FB26D9">
            <w:pPr>
              <w:pStyle w:val="BodyText"/>
              <w:tabs>
                <w:tab w:val="left" w:pos="1048"/>
                <w:tab w:val="left" w:pos="6182"/>
                <w:tab w:val="left" w:pos="6718"/>
              </w:tabs>
              <w:spacing w:before="49"/>
              <w:rPr>
                <w:sz w:val="22"/>
                <w:lang w:val="es-VE"/>
              </w:rPr>
            </w:pPr>
            <w:r w:rsidRPr="004945E1">
              <w:rPr>
                <w:sz w:val="22"/>
                <w:lang w:val="es-VE"/>
              </w:rPr>
              <w:t xml:space="preserve">¿Cuál es la situación de vida actual del </w:t>
            </w:r>
            <w:r w:rsidR="004B1CC8" w:rsidRPr="004945E1">
              <w:rPr>
                <w:sz w:val="22"/>
                <w:lang w:val="es-VE"/>
              </w:rPr>
              <w:t>grupo familiar</w:t>
            </w:r>
            <w:r w:rsidRPr="004945E1">
              <w:rPr>
                <w:sz w:val="22"/>
                <w:lang w:val="es-VE"/>
              </w:rPr>
              <w:t xml:space="preserve">? </w:t>
            </w:r>
          </w:p>
          <w:p w14:paraId="355B1345" w14:textId="77777777" w:rsidR="007271AD" w:rsidRPr="004945E1" w:rsidRDefault="007271AD">
            <w:pPr>
              <w:pStyle w:val="BodyText"/>
              <w:tabs>
                <w:tab w:val="left" w:pos="1048"/>
                <w:tab w:val="left" w:pos="6182"/>
                <w:tab w:val="left" w:pos="6718"/>
              </w:tabs>
              <w:spacing w:before="49"/>
              <w:rPr>
                <w:sz w:val="22"/>
                <w:lang w:val="es-VE"/>
              </w:rPr>
            </w:pPr>
          </w:p>
          <w:p w14:paraId="34BE177D" w14:textId="77777777" w:rsidR="007271AD" w:rsidRPr="004945E1" w:rsidRDefault="007271AD">
            <w:pPr>
              <w:pStyle w:val="BodyText"/>
              <w:tabs>
                <w:tab w:val="left" w:pos="1048"/>
                <w:tab w:val="left" w:pos="6182"/>
                <w:tab w:val="left" w:pos="6718"/>
              </w:tabs>
              <w:spacing w:before="49"/>
              <w:rPr>
                <w:sz w:val="22"/>
                <w:lang w:val="es-VE"/>
              </w:rPr>
            </w:pPr>
          </w:p>
          <w:p w14:paraId="3B140486" w14:textId="77777777" w:rsidR="007271AD" w:rsidRPr="004945E1" w:rsidRDefault="007271AD">
            <w:pPr>
              <w:pStyle w:val="BodyText"/>
              <w:tabs>
                <w:tab w:val="left" w:pos="1048"/>
                <w:tab w:val="left" w:pos="6182"/>
                <w:tab w:val="left" w:pos="6718"/>
              </w:tabs>
              <w:spacing w:before="49"/>
              <w:rPr>
                <w:sz w:val="22"/>
                <w:lang w:val="es-VE"/>
              </w:rPr>
            </w:pPr>
          </w:p>
          <w:p w14:paraId="1822C021" w14:textId="77777777" w:rsidR="007271AD" w:rsidRPr="004945E1" w:rsidRDefault="007271AD">
            <w:pPr>
              <w:pStyle w:val="BodyText"/>
              <w:tabs>
                <w:tab w:val="left" w:pos="1048"/>
                <w:tab w:val="left" w:pos="6182"/>
                <w:tab w:val="left" w:pos="6718"/>
              </w:tabs>
              <w:spacing w:before="49"/>
              <w:rPr>
                <w:sz w:val="22"/>
                <w:lang w:val="es-VE"/>
              </w:rPr>
            </w:pPr>
          </w:p>
          <w:p w14:paraId="41F144A8" w14:textId="77777777" w:rsidR="007271AD" w:rsidRPr="004945E1" w:rsidRDefault="007271AD">
            <w:pPr>
              <w:pStyle w:val="BodyText"/>
              <w:tabs>
                <w:tab w:val="left" w:pos="1048"/>
                <w:tab w:val="left" w:pos="6182"/>
                <w:tab w:val="left" w:pos="6718"/>
              </w:tabs>
              <w:spacing w:before="49"/>
              <w:rPr>
                <w:sz w:val="22"/>
                <w:lang w:val="es-VE"/>
              </w:rPr>
            </w:pPr>
          </w:p>
          <w:p w14:paraId="5FE705A2" w14:textId="77777777" w:rsidR="007271AD" w:rsidRPr="004945E1" w:rsidRDefault="007271AD">
            <w:pPr>
              <w:pStyle w:val="BodyText"/>
              <w:tabs>
                <w:tab w:val="left" w:pos="1048"/>
                <w:tab w:val="left" w:pos="6182"/>
                <w:tab w:val="left" w:pos="6718"/>
              </w:tabs>
              <w:spacing w:before="49"/>
              <w:rPr>
                <w:sz w:val="22"/>
                <w:lang w:val="es-VE"/>
              </w:rPr>
            </w:pPr>
          </w:p>
          <w:p w14:paraId="2FCD69B8" w14:textId="77777777" w:rsidR="007271AD" w:rsidRPr="004945E1" w:rsidRDefault="007271AD">
            <w:pPr>
              <w:pStyle w:val="BodyText"/>
              <w:tabs>
                <w:tab w:val="left" w:pos="1048"/>
                <w:tab w:val="left" w:pos="6182"/>
                <w:tab w:val="left" w:pos="6718"/>
              </w:tabs>
              <w:spacing w:before="49"/>
              <w:rPr>
                <w:sz w:val="22"/>
                <w:lang w:val="es-VE"/>
              </w:rPr>
            </w:pPr>
          </w:p>
          <w:p w14:paraId="08E60582" w14:textId="77777777" w:rsidR="007271AD" w:rsidRPr="004945E1" w:rsidRDefault="007271AD">
            <w:pPr>
              <w:pStyle w:val="BodyText"/>
              <w:tabs>
                <w:tab w:val="left" w:pos="1048"/>
                <w:tab w:val="left" w:pos="6182"/>
                <w:tab w:val="left" w:pos="6718"/>
              </w:tabs>
              <w:spacing w:before="49"/>
              <w:rPr>
                <w:sz w:val="22"/>
                <w:lang w:val="es-VE"/>
              </w:rPr>
            </w:pPr>
          </w:p>
          <w:p w14:paraId="00AC9638" w14:textId="2E322E5F" w:rsidR="007271AD" w:rsidRPr="004945E1" w:rsidRDefault="00FB26D9">
            <w:pPr>
              <w:pStyle w:val="BodyText"/>
              <w:tabs>
                <w:tab w:val="left" w:pos="1048"/>
                <w:tab w:val="left" w:pos="6182"/>
                <w:tab w:val="left" w:pos="6718"/>
              </w:tabs>
              <w:spacing w:before="49"/>
              <w:rPr>
                <w:sz w:val="22"/>
                <w:lang w:val="es-VE"/>
              </w:rPr>
            </w:pPr>
            <w:r w:rsidRPr="004945E1">
              <w:rPr>
                <w:sz w:val="22"/>
                <w:lang w:val="es-VE"/>
              </w:rPr>
              <w:t xml:space="preserve">Indique si el </w:t>
            </w:r>
            <w:r w:rsidR="004B1CC8" w:rsidRPr="004945E1">
              <w:rPr>
                <w:sz w:val="22"/>
                <w:lang w:val="es-VE"/>
              </w:rPr>
              <w:t>grupo familiar</w:t>
            </w:r>
            <w:r w:rsidRPr="004945E1">
              <w:rPr>
                <w:sz w:val="22"/>
                <w:lang w:val="es-VE"/>
              </w:rPr>
              <w:t xml:space="preserve"> está huyendo o intentando huir activamente de la violencia doméstica, el acoso, la agresión sexual o la trata de personas. </w:t>
            </w:r>
          </w:p>
          <w:p w14:paraId="76618AEB" w14:textId="01CF16DC" w:rsidR="007271AD" w:rsidRPr="004945E1" w:rsidRDefault="007271AD">
            <w:pPr>
              <w:pStyle w:val="BodyText"/>
              <w:tabs>
                <w:tab w:val="left" w:pos="1048"/>
                <w:tab w:val="left" w:pos="6182"/>
                <w:tab w:val="left" w:pos="6718"/>
              </w:tabs>
              <w:spacing w:before="49"/>
              <w:rPr>
                <w:sz w:val="22"/>
                <w:lang w:val="es-VE"/>
              </w:rPr>
            </w:pPr>
          </w:p>
        </w:tc>
        <w:tc>
          <w:tcPr>
            <w:tcW w:w="4978" w:type="dxa"/>
          </w:tcPr>
          <w:p w14:paraId="4DEE8928" w14:textId="77777777" w:rsidR="007271AD" w:rsidRPr="004945E1" w:rsidRDefault="007271AD">
            <w:pPr>
              <w:spacing w:after="160" w:line="256" w:lineRule="auto"/>
              <w:rPr>
                <w:i/>
                <w:sz w:val="22"/>
                <w:lang w:val="es-VE"/>
              </w:rPr>
            </w:pPr>
          </w:p>
          <w:p w14:paraId="160F855B" w14:textId="15B35746" w:rsidR="007271AD" w:rsidRPr="004945E1" w:rsidRDefault="00FB26D9">
            <w:pPr>
              <w:spacing w:after="160" w:line="256" w:lineRule="auto"/>
              <w:rPr>
                <w:i/>
                <w:sz w:val="22"/>
                <w:lang w:val="es-VE"/>
              </w:rPr>
            </w:pPr>
            <w:r w:rsidRPr="004945E1">
              <w:rPr>
                <w:i/>
                <w:sz w:val="22"/>
                <w:lang w:val="es-VE"/>
              </w:rPr>
              <w:t xml:space="preserve">Seleccione la opción que mejor describa la situación de vida actual. Si el </w:t>
            </w:r>
            <w:r w:rsidR="004B1CC8" w:rsidRPr="004945E1">
              <w:rPr>
                <w:i/>
                <w:sz w:val="22"/>
                <w:lang w:val="es-VE"/>
              </w:rPr>
              <w:t>grupo familiar</w:t>
            </w:r>
            <w:r w:rsidRPr="004945E1">
              <w:rPr>
                <w:i/>
                <w:sz w:val="22"/>
                <w:lang w:val="es-VE"/>
              </w:rPr>
              <w:t xml:space="preserve"> normalmente experimenta una </w:t>
            </w:r>
            <w:r w:rsidR="004B1CC8" w:rsidRPr="004945E1">
              <w:rPr>
                <w:i/>
                <w:sz w:val="22"/>
                <w:lang w:val="es-VE"/>
              </w:rPr>
              <w:t>situación,</w:t>
            </w:r>
            <w:r w:rsidRPr="004945E1">
              <w:rPr>
                <w:i/>
                <w:sz w:val="22"/>
                <w:lang w:val="es-VE"/>
              </w:rPr>
              <w:t xml:space="preserve"> pero actualmente experimenta otra, elija la selección que mejor describa la experiencia actual general. Por ejemplo, si la persona suele acampar al aire libre, pero se quedó en un refugio anoche como algo poco frecuente, puede seleccionar sin refugio. </w:t>
            </w:r>
          </w:p>
          <w:p w14:paraId="4F758B50" w14:textId="77777777" w:rsidR="007271AD" w:rsidRPr="004945E1" w:rsidRDefault="007271AD">
            <w:pPr>
              <w:spacing w:after="160" w:line="256" w:lineRule="auto"/>
              <w:rPr>
                <w:i/>
                <w:sz w:val="22"/>
                <w:lang w:val="es-VE"/>
              </w:rPr>
            </w:pPr>
          </w:p>
          <w:p w14:paraId="171B414D" w14:textId="63842F94" w:rsidR="007271AD" w:rsidRPr="004945E1" w:rsidRDefault="00FB26D9">
            <w:pPr>
              <w:spacing w:after="160" w:line="256" w:lineRule="auto"/>
              <w:rPr>
                <w:i/>
                <w:sz w:val="22"/>
                <w:lang w:val="es-VE"/>
              </w:rPr>
            </w:pPr>
            <w:r w:rsidRPr="004945E1">
              <w:rPr>
                <w:i/>
                <w:sz w:val="22"/>
                <w:lang w:val="es-VE"/>
              </w:rPr>
              <w:t>Esta pregunta es sí o no.</w:t>
            </w:r>
          </w:p>
        </w:tc>
      </w:tr>
      <w:tr w:rsidR="007271AD" w:rsidRPr="004945E1" w14:paraId="7193FFC6" w14:textId="77777777">
        <w:tc>
          <w:tcPr>
            <w:tcW w:w="5813" w:type="dxa"/>
          </w:tcPr>
          <w:p w14:paraId="4E014396" w14:textId="6109AD89" w:rsidR="007271AD" w:rsidRPr="004945E1" w:rsidRDefault="00FB26D9">
            <w:pPr>
              <w:spacing w:after="160" w:line="256" w:lineRule="auto"/>
              <w:rPr>
                <w:b/>
                <w:sz w:val="22"/>
                <w:u w:val="single"/>
                <w:lang w:val="es-VE"/>
              </w:rPr>
            </w:pPr>
            <w:r w:rsidRPr="004945E1">
              <w:rPr>
                <w:b/>
                <w:sz w:val="22"/>
                <w:u w:val="single"/>
                <w:lang w:val="es-VE"/>
              </w:rPr>
              <w:t xml:space="preserve">Historia de la falta de vivienda </w:t>
            </w:r>
          </w:p>
          <w:p w14:paraId="4B535C53" w14:textId="4DB93541" w:rsidR="007271AD" w:rsidRPr="004945E1" w:rsidRDefault="00FB26D9">
            <w:pPr>
              <w:spacing w:after="160" w:line="256" w:lineRule="auto"/>
              <w:rPr>
                <w:sz w:val="22"/>
                <w:lang w:val="es-VE"/>
              </w:rPr>
            </w:pPr>
            <w:r w:rsidRPr="004945E1">
              <w:rPr>
                <w:sz w:val="22"/>
                <w:lang w:val="es-VE"/>
              </w:rPr>
              <w:t>(A los efectos de esta pregunta, la falta de vivienda significa vivir en la calle, en un refugio, en un lugar no destinado a la habitación humana, TH o en una habitación con alguien)</w:t>
            </w:r>
          </w:p>
          <w:p w14:paraId="553CEA22" w14:textId="0D2F5431" w:rsidR="007271AD" w:rsidRPr="004945E1" w:rsidRDefault="00FB26D9">
            <w:pPr>
              <w:spacing w:after="160" w:line="256" w:lineRule="auto"/>
              <w:rPr>
                <w:sz w:val="22"/>
                <w:lang w:val="es-VE"/>
              </w:rPr>
            </w:pPr>
            <w:r w:rsidRPr="004945E1">
              <w:rPr>
                <w:sz w:val="22"/>
                <w:lang w:val="es-VE"/>
              </w:rPr>
              <w:t>Seleccione la opción que mejor describa el historial de falta de hogar del grupo familiar</w:t>
            </w:r>
          </w:p>
          <w:p w14:paraId="6BBD98DD" w14:textId="77777777" w:rsidR="007271AD" w:rsidRPr="004945E1" w:rsidRDefault="007271AD">
            <w:pPr>
              <w:spacing w:after="160" w:line="256" w:lineRule="auto"/>
              <w:rPr>
                <w:sz w:val="22"/>
                <w:lang w:val="es-VE"/>
              </w:rPr>
            </w:pPr>
          </w:p>
          <w:p w14:paraId="218ABBAB" w14:textId="20C54870" w:rsidR="007271AD" w:rsidRPr="004945E1" w:rsidRDefault="00FB26D9">
            <w:pPr>
              <w:spacing w:after="160" w:line="256" w:lineRule="auto"/>
              <w:rPr>
                <w:sz w:val="22"/>
                <w:lang w:val="es-VE"/>
              </w:rPr>
            </w:pPr>
            <w:r w:rsidRPr="004945E1">
              <w:rPr>
                <w:sz w:val="22"/>
                <w:lang w:val="es-VE"/>
              </w:rPr>
              <w:t xml:space="preserve">¿El grupo familiar volvió a quedarse sin hogar después de recibir asistencia de vivienda dedicada a personas sin hogar en el pasado? </w:t>
            </w:r>
          </w:p>
        </w:tc>
        <w:tc>
          <w:tcPr>
            <w:tcW w:w="4978" w:type="dxa"/>
          </w:tcPr>
          <w:p w14:paraId="62C07A6D" w14:textId="77777777" w:rsidR="007271AD" w:rsidRPr="004945E1" w:rsidRDefault="007271AD">
            <w:pPr>
              <w:spacing w:after="160" w:line="256" w:lineRule="auto"/>
              <w:rPr>
                <w:i/>
                <w:sz w:val="22"/>
                <w:lang w:val="es-VE"/>
              </w:rPr>
            </w:pPr>
          </w:p>
          <w:p w14:paraId="579BEB98" w14:textId="77777777" w:rsidR="007271AD" w:rsidRPr="004945E1" w:rsidRDefault="007271AD">
            <w:pPr>
              <w:spacing w:after="160" w:line="256" w:lineRule="auto"/>
              <w:rPr>
                <w:i/>
                <w:sz w:val="22"/>
                <w:lang w:val="es-VE"/>
              </w:rPr>
            </w:pPr>
          </w:p>
          <w:p w14:paraId="5613BFF6" w14:textId="77777777" w:rsidR="007271AD" w:rsidRPr="004945E1" w:rsidRDefault="007271AD">
            <w:pPr>
              <w:spacing w:after="160" w:line="256" w:lineRule="auto"/>
              <w:rPr>
                <w:i/>
                <w:sz w:val="22"/>
                <w:lang w:val="es-VE"/>
              </w:rPr>
            </w:pPr>
          </w:p>
          <w:p w14:paraId="20311A9B" w14:textId="77777777" w:rsidR="007271AD" w:rsidRPr="004945E1" w:rsidRDefault="007271AD">
            <w:pPr>
              <w:spacing w:after="160" w:line="256" w:lineRule="auto"/>
              <w:rPr>
                <w:i/>
                <w:sz w:val="22"/>
                <w:lang w:val="es-VE"/>
              </w:rPr>
            </w:pPr>
          </w:p>
          <w:p w14:paraId="3682392B" w14:textId="0F99F3F8" w:rsidR="007271AD" w:rsidRPr="004945E1" w:rsidRDefault="00FB26D9">
            <w:pPr>
              <w:spacing w:after="160" w:line="256" w:lineRule="auto"/>
              <w:rPr>
                <w:i/>
                <w:sz w:val="22"/>
                <w:lang w:val="es-VE"/>
              </w:rPr>
            </w:pPr>
            <w:r w:rsidRPr="004945E1">
              <w:rPr>
                <w:i/>
                <w:sz w:val="22"/>
                <w:lang w:val="es-VE"/>
              </w:rPr>
              <w:t xml:space="preserve">Seleccione una de las opciones mencionadas. </w:t>
            </w:r>
          </w:p>
          <w:p w14:paraId="72283E01" w14:textId="77777777" w:rsidR="007271AD" w:rsidRPr="004945E1" w:rsidRDefault="007271AD">
            <w:pPr>
              <w:spacing w:after="160" w:line="256" w:lineRule="auto"/>
              <w:rPr>
                <w:i/>
                <w:sz w:val="22"/>
                <w:lang w:val="es-VE"/>
              </w:rPr>
            </w:pPr>
          </w:p>
          <w:p w14:paraId="5C9BEDB6" w14:textId="77777777" w:rsidR="007271AD" w:rsidRPr="004945E1" w:rsidRDefault="007271AD">
            <w:pPr>
              <w:spacing w:after="160" w:line="256" w:lineRule="auto"/>
              <w:rPr>
                <w:i/>
                <w:sz w:val="22"/>
                <w:lang w:val="es-VE"/>
              </w:rPr>
            </w:pPr>
          </w:p>
          <w:p w14:paraId="624E515B" w14:textId="2BC5C178" w:rsidR="007271AD" w:rsidRPr="004945E1" w:rsidRDefault="00FB26D9">
            <w:pPr>
              <w:spacing w:after="160" w:line="256" w:lineRule="auto"/>
              <w:rPr>
                <w:sz w:val="22"/>
                <w:lang w:val="es-VE"/>
              </w:rPr>
            </w:pPr>
            <w:r w:rsidRPr="004945E1">
              <w:rPr>
                <w:i/>
                <w:sz w:val="22"/>
                <w:lang w:val="es-VE"/>
              </w:rPr>
              <w:t xml:space="preserve">Responda la pregunta en función de sus conversaciones con la persona o la familia. Comprender puede ser difícil de determinar, hay una opción para los que no están seguros. </w:t>
            </w:r>
          </w:p>
        </w:tc>
      </w:tr>
      <w:tr w:rsidR="007271AD" w:rsidRPr="004945E1" w14:paraId="706FB80A" w14:textId="77777777">
        <w:tc>
          <w:tcPr>
            <w:tcW w:w="5813" w:type="dxa"/>
          </w:tcPr>
          <w:p w14:paraId="6E3FBB23" w14:textId="77777777" w:rsidR="007271AD" w:rsidRPr="004945E1" w:rsidRDefault="00FB26D9">
            <w:pPr>
              <w:spacing w:after="160" w:line="256" w:lineRule="auto"/>
              <w:rPr>
                <w:b/>
                <w:sz w:val="22"/>
                <w:u w:val="single"/>
                <w:lang w:val="es-VE"/>
              </w:rPr>
            </w:pPr>
            <w:r w:rsidRPr="004945E1">
              <w:rPr>
                <w:b/>
                <w:sz w:val="22"/>
                <w:u w:val="single"/>
                <w:lang w:val="es-VE"/>
              </w:rPr>
              <w:t xml:space="preserve">Historial de desalojo </w:t>
            </w:r>
          </w:p>
          <w:p w14:paraId="63FCC920" w14:textId="77777777" w:rsidR="007271AD" w:rsidRPr="004945E1" w:rsidRDefault="00FB26D9">
            <w:pPr>
              <w:spacing w:after="160" w:line="256" w:lineRule="auto"/>
              <w:rPr>
                <w:sz w:val="22"/>
                <w:lang w:val="es-VE"/>
              </w:rPr>
            </w:pPr>
            <w:r w:rsidRPr="004945E1">
              <w:rPr>
                <w:sz w:val="22"/>
                <w:lang w:val="es-VE"/>
              </w:rPr>
              <w:t>¿Ha dejado el grupo familiar su residencia principal debido a un desalojo o amenaza de desalojo?</w:t>
            </w:r>
          </w:p>
          <w:p w14:paraId="516A4521" w14:textId="77777777" w:rsidR="007271AD" w:rsidRPr="004945E1" w:rsidRDefault="007271AD">
            <w:pPr>
              <w:spacing w:after="160" w:line="256" w:lineRule="auto"/>
              <w:rPr>
                <w:sz w:val="22"/>
                <w:lang w:val="es-VE"/>
              </w:rPr>
            </w:pPr>
          </w:p>
          <w:p w14:paraId="2BDDEF3F" w14:textId="77777777" w:rsidR="007271AD" w:rsidRPr="004945E1" w:rsidRDefault="007271AD">
            <w:pPr>
              <w:spacing w:after="160" w:line="256" w:lineRule="auto"/>
              <w:rPr>
                <w:sz w:val="22"/>
                <w:lang w:val="es-VE"/>
              </w:rPr>
            </w:pPr>
          </w:p>
          <w:p w14:paraId="76F5A8E9" w14:textId="77777777" w:rsidR="007271AD" w:rsidRPr="004945E1" w:rsidRDefault="007271AD">
            <w:pPr>
              <w:spacing w:after="160" w:line="256" w:lineRule="auto"/>
              <w:rPr>
                <w:sz w:val="22"/>
                <w:lang w:val="es-VE"/>
              </w:rPr>
            </w:pPr>
          </w:p>
          <w:p w14:paraId="2CC98CB7" w14:textId="77777777" w:rsidR="007271AD" w:rsidRPr="004945E1" w:rsidRDefault="007271AD">
            <w:pPr>
              <w:spacing w:after="160" w:line="256" w:lineRule="auto"/>
              <w:rPr>
                <w:sz w:val="22"/>
                <w:lang w:val="es-VE"/>
              </w:rPr>
            </w:pPr>
          </w:p>
          <w:p w14:paraId="55C84876" w14:textId="5CC37BBD" w:rsidR="007271AD" w:rsidRPr="004945E1" w:rsidRDefault="00FB26D9">
            <w:pPr>
              <w:spacing w:after="160" w:line="256" w:lineRule="auto"/>
              <w:rPr>
                <w:sz w:val="22"/>
                <w:lang w:val="es-VE"/>
              </w:rPr>
            </w:pPr>
            <w:r w:rsidRPr="004945E1">
              <w:rPr>
                <w:sz w:val="22"/>
                <w:lang w:val="es-VE"/>
              </w:rPr>
              <w:t>¿Han recibido una Orden Judicial de desalojo?</w:t>
            </w:r>
          </w:p>
        </w:tc>
        <w:tc>
          <w:tcPr>
            <w:tcW w:w="4978" w:type="dxa"/>
          </w:tcPr>
          <w:p w14:paraId="6FD8D3FE" w14:textId="77777777" w:rsidR="007271AD" w:rsidRPr="004945E1" w:rsidRDefault="007271AD">
            <w:pPr>
              <w:spacing w:after="160" w:line="256" w:lineRule="auto"/>
              <w:rPr>
                <w:i/>
                <w:sz w:val="22"/>
                <w:lang w:val="es-VE"/>
              </w:rPr>
            </w:pPr>
          </w:p>
          <w:p w14:paraId="3A3EA807" w14:textId="77777777" w:rsidR="007271AD" w:rsidRPr="004945E1" w:rsidRDefault="00FB26D9">
            <w:pPr>
              <w:spacing w:after="160" w:line="256" w:lineRule="auto"/>
              <w:rPr>
                <w:i/>
                <w:sz w:val="22"/>
                <w:lang w:val="es-VE"/>
              </w:rPr>
            </w:pPr>
            <w:r w:rsidRPr="004945E1">
              <w:rPr>
                <w:i/>
                <w:sz w:val="22"/>
                <w:lang w:val="es-VE"/>
              </w:rPr>
              <w:t xml:space="preserve">Por favor, seleccione una opción. Esto incluye a las personas que abandonaron su residencia principal debido a una amenaza percibida de desalojo o una carta del propietario, así como a los desalojos. </w:t>
            </w:r>
            <w:r w:rsidRPr="004945E1">
              <w:rPr>
                <w:i/>
                <w:sz w:val="22"/>
                <w:lang w:val="es-VE"/>
              </w:rPr>
              <w:lastRenderedPageBreak/>
              <w:t>Especifique si el desalojo fue de una vivienda a precio de mercado o de una vivienda administrada por la autoridad de vivienda pública, incluida la Sección 8.</w:t>
            </w:r>
          </w:p>
          <w:p w14:paraId="345D06DC" w14:textId="77777777" w:rsidR="007271AD" w:rsidRPr="004945E1" w:rsidRDefault="007271AD">
            <w:pPr>
              <w:spacing w:after="160" w:line="256" w:lineRule="auto"/>
              <w:rPr>
                <w:i/>
                <w:sz w:val="22"/>
                <w:lang w:val="es-VE"/>
              </w:rPr>
            </w:pPr>
          </w:p>
          <w:p w14:paraId="6325A15B" w14:textId="77777777" w:rsidR="007271AD" w:rsidRPr="004945E1" w:rsidRDefault="007271AD">
            <w:pPr>
              <w:spacing w:after="160" w:line="256" w:lineRule="auto"/>
              <w:rPr>
                <w:i/>
                <w:sz w:val="22"/>
                <w:lang w:val="es-VE"/>
              </w:rPr>
            </w:pPr>
          </w:p>
          <w:p w14:paraId="7F90C8AE" w14:textId="50E022F1" w:rsidR="007271AD" w:rsidRPr="004945E1" w:rsidRDefault="00FB26D9">
            <w:pPr>
              <w:spacing w:after="160" w:line="256" w:lineRule="auto"/>
              <w:rPr>
                <w:i/>
                <w:sz w:val="22"/>
                <w:lang w:val="es-VE"/>
              </w:rPr>
            </w:pPr>
            <w:r w:rsidRPr="004945E1">
              <w:rPr>
                <w:i/>
                <w:sz w:val="22"/>
                <w:lang w:val="es-VE"/>
              </w:rPr>
              <w:t xml:space="preserve">Seleccione una opción para indicar si el hogar recibió una Orden Judicial de desalojo. Si no está seguro, puede buscar el Acceso Electrónico a Casos de la Corte de Juicio Masivo </w:t>
            </w:r>
            <w:hyperlink r:id="rId20" w:history="1">
              <w:r w:rsidRPr="004945E1">
                <w:rPr>
                  <w:rStyle w:val="Hyperlink"/>
                  <w:i/>
                  <w:sz w:val="22"/>
                  <w:lang w:val="es-VE"/>
                </w:rPr>
                <w:t>aquí</w:t>
              </w:r>
            </w:hyperlink>
            <w:r w:rsidRPr="004945E1">
              <w:rPr>
                <w:i/>
                <w:sz w:val="22"/>
                <w:lang w:val="es-VE"/>
              </w:rPr>
              <w:t>. Si la respuesta es afirmativa, indique si el grupo familiar ha tenido o no una Orden Judicial de desalojo o si ha tenido más de una. O puede seleccionar No o No estoy seguro.</w:t>
            </w:r>
          </w:p>
        </w:tc>
      </w:tr>
      <w:tr w:rsidR="007271AD" w:rsidRPr="004945E1" w14:paraId="57F5CB90" w14:textId="77777777">
        <w:tc>
          <w:tcPr>
            <w:tcW w:w="5813" w:type="dxa"/>
          </w:tcPr>
          <w:p w14:paraId="5E9DC5A3" w14:textId="77777777" w:rsidR="007271AD" w:rsidRPr="004945E1" w:rsidRDefault="00FB26D9">
            <w:pPr>
              <w:spacing w:after="160" w:line="256" w:lineRule="auto"/>
              <w:rPr>
                <w:b/>
                <w:sz w:val="22"/>
                <w:u w:val="single"/>
                <w:lang w:val="es-VE"/>
              </w:rPr>
            </w:pPr>
            <w:r w:rsidRPr="004945E1">
              <w:rPr>
                <w:b/>
                <w:sz w:val="22"/>
                <w:u w:val="single"/>
                <w:lang w:val="es-VE"/>
              </w:rPr>
              <w:lastRenderedPageBreak/>
              <w:t xml:space="preserve">Ingresos </w:t>
            </w:r>
          </w:p>
          <w:p w14:paraId="6624439D" w14:textId="6EE89757" w:rsidR="007271AD" w:rsidRPr="004945E1" w:rsidRDefault="00FB26D9">
            <w:pPr>
              <w:spacing w:after="160" w:line="256" w:lineRule="auto"/>
              <w:rPr>
                <w:sz w:val="22"/>
                <w:lang w:val="es-VE"/>
              </w:rPr>
            </w:pPr>
            <w:r w:rsidRPr="004945E1">
              <w:rPr>
                <w:sz w:val="22"/>
                <w:lang w:val="es-VE"/>
              </w:rPr>
              <w:t>Seleccione la opción que describa el ingreso bruto anual del grupo familiar por tamaño de familia</w:t>
            </w:r>
          </w:p>
        </w:tc>
        <w:tc>
          <w:tcPr>
            <w:tcW w:w="4978" w:type="dxa"/>
          </w:tcPr>
          <w:p w14:paraId="31260FE4" w14:textId="77777777" w:rsidR="007271AD" w:rsidRPr="004945E1" w:rsidRDefault="007271AD">
            <w:pPr>
              <w:spacing w:after="160" w:line="256" w:lineRule="auto"/>
              <w:rPr>
                <w:i/>
                <w:sz w:val="22"/>
                <w:lang w:val="es-VE"/>
              </w:rPr>
            </w:pPr>
          </w:p>
          <w:p w14:paraId="1842DBC5" w14:textId="008BC231" w:rsidR="007271AD" w:rsidRPr="004945E1" w:rsidRDefault="00FB26D9">
            <w:pPr>
              <w:spacing w:after="160" w:line="256" w:lineRule="auto"/>
              <w:rPr>
                <w:i/>
                <w:sz w:val="22"/>
                <w:lang w:val="es-VE"/>
              </w:rPr>
            </w:pPr>
            <w:r w:rsidRPr="004945E1">
              <w:rPr>
                <w:i/>
                <w:sz w:val="22"/>
                <w:lang w:val="es-VE"/>
              </w:rPr>
              <w:t xml:space="preserve">Seleccione una opción que mejor describa los ingresos del grupo familiar por tamaño de familia. Las cuatro opciones se basan en los beneficios por discapacidad promedio por tamaño del grupo familiar y el promedio de los </w:t>
            </w:r>
            <w:hyperlink r:id="rId21" w:history="1">
              <w:r w:rsidRPr="004945E1">
                <w:rPr>
                  <w:rStyle w:val="Hyperlink"/>
                  <w:i/>
                  <w:sz w:val="22"/>
                  <w:lang w:val="es-VE"/>
                </w:rPr>
                <w:t>estándares de Ingresos Medios del Área</w:t>
              </w:r>
            </w:hyperlink>
            <w:r w:rsidRPr="004945E1">
              <w:rPr>
                <w:i/>
                <w:sz w:val="22"/>
                <w:lang w:val="es-VE"/>
              </w:rPr>
              <w:t xml:space="preserve"> de tres condados para Ingresos Extremadamente Bajos (30% AMI) e Ingresos Muy Bajos (60% AMI) </w:t>
            </w:r>
          </w:p>
        </w:tc>
      </w:tr>
      <w:tr w:rsidR="007271AD" w:rsidRPr="004945E1" w14:paraId="66320E46" w14:textId="77777777">
        <w:tc>
          <w:tcPr>
            <w:tcW w:w="5813" w:type="dxa"/>
          </w:tcPr>
          <w:p w14:paraId="344B2A40" w14:textId="77777777" w:rsidR="007271AD" w:rsidRPr="004945E1" w:rsidRDefault="00FB26D9">
            <w:pPr>
              <w:spacing w:after="160" w:line="256" w:lineRule="auto"/>
              <w:rPr>
                <w:b/>
                <w:sz w:val="22"/>
                <w:u w:val="single"/>
                <w:lang w:val="es-VE"/>
              </w:rPr>
            </w:pPr>
            <w:r w:rsidRPr="004945E1">
              <w:rPr>
                <w:b/>
                <w:sz w:val="22"/>
                <w:u w:val="single"/>
                <w:lang w:val="es-VE"/>
              </w:rPr>
              <w:t>Historia con el Sistema de Justicia Penal</w:t>
            </w:r>
          </w:p>
          <w:p w14:paraId="53C956BD" w14:textId="2BC186E9" w:rsidR="007271AD" w:rsidRPr="004945E1" w:rsidRDefault="00FB26D9">
            <w:pPr>
              <w:spacing w:after="160" w:line="256" w:lineRule="auto"/>
              <w:rPr>
                <w:sz w:val="22"/>
                <w:lang w:val="es-VE"/>
              </w:rPr>
            </w:pPr>
            <w:r w:rsidRPr="004945E1">
              <w:rPr>
                <w:sz w:val="22"/>
                <w:lang w:val="es-VE"/>
              </w:rPr>
              <w:t>Indique si el jefe de hogar tiene necesidades de servicios actuales o legales o un CORI que inhibe el acceso a la vivienda:</w:t>
            </w:r>
          </w:p>
          <w:p w14:paraId="3A617003" w14:textId="77777777" w:rsidR="007271AD" w:rsidRPr="004945E1" w:rsidRDefault="007271AD">
            <w:pPr>
              <w:spacing w:after="160" w:line="256" w:lineRule="auto"/>
              <w:rPr>
                <w:sz w:val="22"/>
                <w:lang w:val="es-VE"/>
              </w:rPr>
            </w:pPr>
          </w:p>
          <w:p w14:paraId="3CEBCF93" w14:textId="0123394A" w:rsidR="007271AD" w:rsidRPr="004945E1" w:rsidRDefault="00FB26D9">
            <w:pPr>
              <w:spacing w:after="160" w:line="256" w:lineRule="auto"/>
              <w:rPr>
                <w:sz w:val="22"/>
                <w:lang w:val="es-VE"/>
              </w:rPr>
            </w:pPr>
            <w:r w:rsidRPr="004945E1">
              <w:rPr>
                <w:sz w:val="22"/>
                <w:lang w:val="es-VE"/>
              </w:rPr>
              <w:t xml:space="preserve">Indique si el cabeza de familia tiene uno o más de los siguientes: </w:t>
            </w:r>
          </w:p>
          <w:p w14:paraId="3B9DB8AD" w14:textId="77777777" w:rsidR="007271AD" w:rsidRPr="004945E1" w:rsidRDefault="00FB26D9">
            <w:pPr>
              <w:pStyle w:val="ListParagraph"/>
              <w:numPr>
                <w:ilvl w:val="0"/>
                <w:numId w:val="30"/>
              </w:numPr>
              <w:spacing w:after="160" w:line="256" w:lineRule="auto"/>
              <w:rPr>
                <w:sz w:val="22"/>
                <w:lang w:val="es-VE"/>
              </w:rPr>
            </w:pPr>
            <w:r w:rsidRPr="004945E1">
              <w:rPr>
                <w:sz w:val="22"/>
                <w:lang w:val="es-VE"/>
              </w:rPr>
              <w:t>Delincuente sexual registrado</w:t>
            </w:r>
          </w:p>
          <w:p w14:paraId="0F6047BA" w14:textId="77777777" w:rsidR="007271AD" w:rsidRPr="004945E1" w:rsidRDefault="00FB26D9">
            <w:pPr>
              <w:pStyle w:val="ListParagraph"/>
              <w:numPr>
                <w:ilvl w:val="0"/>
                <w:numId w:val="30"/>
              </w:numPr>
              <w:spacing w:after="160" w:line="256" w:lineRule="auto"/>
              <w:rPr>
                <w:sz w:val="22"/>
                <w:lang w:val="es-VE"/>
              </w:rPr>
            </w:pPr>
            <w:r w:rsidRPr="004945E1">
              <w:rPr>
                <w:sz w:val="22"/>
                <w:lang w:val="es-VE"/>
              </w:rPr>
              <w:t>Antecedentes penales por incendio premeditado, tráfico o fabricación de drogas, o delito contra las personas o la propiedad</w:t>
            </w:r>
          </w:p>
          <w:p w14:paraId="17204680" w14:textId="77777777" w:rsidR="007271AD" w:rsidRPr="004945E1" w:rsidRDefault="00FB26D9">
            <w:pPr>
              <w:pStyle w:val="ListParagraph"/>
              <w:numPr>
                <w:ilvl w:val="0"/>
                <w:numId w:val="30"/>
              </w:numPr>
              <w:spacing w:after="160" w:line="256" w:lineRule="auto"/>
              <w:rPr>
                <w:sz w:val="22"/>
                <w:lang w:val="es-VE"/>
              </w:rPr>
            </w:pPr>
            <w:r w:rsidRPr="004945E1">
              <w:rPr>
                <w:sz w:val="22"/>
                <w:lang w:val="es-VE"/>
              </w:rPr>
              <w:t>Encarcelado como adulto</w:t>
            </w:r>
          </w:p>
          <w:p w14:paraId="7962716F" w14:textId="77777777" w:rsidR="007271AD" w:rsidRPr="004945E1" w:rsidRDefault="00FB26D9">
            <w:pPr>
              <w:pStyle w:val="ListParagraph"/>
              <w:numPr>
                <w:ilvl w:val="0"/>
                <w:numId w:val="30"/>
              </w:numPr>
              <w:spacing w:after="160" w:line="256" w:lineRule="auto"/>
              <w:rPr>
                <w:sz w:val="22"/>
                <w:lang w:val="es-VE"/>
              </w:rPr>
            </w:pPr>
            <w:r w:rsidRPr="004945E1">
              <w:rPr>
                <w:sz w:val="22"/>
                <w:lang w:val="es-VE"/>
              </w:rPr>
              <w:t>Liberado de la cárcel o prisión dentro de los últimos seis meses después del encarcelamiento por 90 días o más</w:t>
            </w:r>
          </w:p>
          <w:p w14:paraId="0501E33E" w14:textId="2DA7BDE4" w:rsidR="007271AD" w:rsidRPr="004945E1" w:rsidRDefault="00FB26D9">
            <w:pPr>
              <w:pStyle w:val="ListParagraph"/>
              <w:numPr>
                <w:ilvl w:val="0"/>
                <w:numId w:val="30"/>
              </w:numPr>
              <w:spacing w:after="160" w:line="256" w:lineRule="auto"/>
              <w:rPr>
                <w:sz w:val="22"/>
                <w:lang w:val="es-VE"/>
              </w:rPr>
            </w:pPr>
            <w:r w:rsidRPr="004945E1">
              <w:rPr>
                <w:sz w:val="22"/>
                <w:lang w:val="es-VE"/>
              </w:rPr>
              <w:t xml:space="preserve">Participación en la justicia juvenil en los últimos 7 años </w:t>
            </w:r>
          </w:p>
        </w:tc>
        <w:tc>
          <w:tcPr>
            <w:tcW w:w="4978" w:type="dxa"/>
          </w:tcPr>
          <w:p w14:paraId="4E56E235" w14:textId="77777777" w:rsidR="007271AD" w:rsidRPr="004945E1" w:rsidRDefault="007271AD">
            <w:pPr>
              <w:spacing w:after="160" w:line="256" w:lineRule="auto"/>
              <w:rPr>
                <w:i/>
                <w:sz w:val="22"/>
                <w:lang w:val="es-VE"/>
              </w:rPr>
            </w:pPr>
          </w:p>
          <w:p w14:paraId="686E163E" w14:textId="5E46298A" w:rsidR="007271AD" w:rsidRPr="004945E1" w:rsidRDefault="00FB26D9">
            <w:pPr>
              <w:spacing w:after="160" w:line="256" w:lineRule="auto"/>
              <w:rPr>
                <w:i/>
                <w:sz w:val="22"/>
                <w:lang w:val="es-VE"/>
              </w:rPr>
            </w:pPr>
            <w:r w:rsidRPr="004945E1">
              <w:rPr>
                <w:i/>
                <w:sz w:val="22"/>
                <w:lang w:val="es-VE"/>
              </w:rPr>
              <w:t>Seleccione sí o no. Las necesidades actuales de servicios legales incluyen, pero no se limitan a: casos abiertos, necesidades de sellado de CORI, CORI o cualquier otro problema legal que inhiba el acceso a la vivienda</w:t>
            </w:r>
          </w:p>
          <w:p w14:paraId="57FE6C23" w14:textId="0F2347B5" w:rsidR="007271AD" w:rsidRPr="004945E1" w:rsidRDefault="00FB26D9">
            <w:pPr>
              <w:spacing w:after="160" w:line="256" w:lineRule="auto"/>
              <w:rPr>
                <w:i/>
                <w:sz w:val="22"/>
                <w:lang w:val="es-VE"/>
              </w:rPr>
            </w:pPr>
            <w:r w:rsidRPr="004945E1">
              <w:rPr>
                <w:i/>
                <w:sz w:val="22"/>
                <w:lang w:val="es-VE"/>
              </w:rPr>
              <w:t>Seleccione todas las que correspondan. Tenga en cuenta que puede seleccionar puntos aquí incluso si la respuesta a la pregunta anterior fue "no".</w:t>
            </w:r>
          </w:p>
          <w:p w14:paraId="70D96BEF" w14:textId="20216ECA" w:rsidR="007271AD" w:rsidRPr="004945E1" w:rsidRDefault="00FB26D9">
            <w:pPr>
              <w:spacing w:after="160" w:line="256" w:lineRule="auto"/>
              <w:rPr>
                <w:i/>
                <w:sz w:val="22"/>
                <w:lang w:val="es-VE"/>
              </w:rPr>
            </w:pPr>
            <w:r w:rsidRPr="004945E1">
              <w:rPr>
                <w:i/>
                <w:sz w:val="22"/>
                <w:lang w:val="es-VE"/>
              </w:rPr>
              <w:t>Marque la casilla si algún miembro del hogar es un delincuente sexual registrado</w:t>
            </w:r>
          </w:p>
          <w:p w14:paraId="3477778C" w14:textId="51067556" w:rsidR="007271AD" w:rsidRPr="004945E1" w:rsidRDefault="007271AD">
            <w:pPr>
              <w:spacing w:after="160" w:line="256" w:lineRule="auto"/>
              <w:rPr>
                <w:i/>
                <w:sz w:val="22"/>
                <w:lang w:val="es-VE"/>
              </w:rPr>
            </w:pPr>
          </w:p>
        </w:tc>
      </w:tr>
      <w:tr w:rsidR="007271AD" w:rsidRPr="004945E1" w14:paraId="62FA1DD9" w14:textId="77777777">
        <w:tc>
          <w:tcPr>
            <w:tcW w:w="5813" w:type="dxa"/>
          </w:tcPr>
          <w:p w14:paraId="16F4601D" w14:textId="77777777" w:rsidR="007271AD" w:rsidRPr="004945E1" w:rsidRDefault="00FB26D9">
            <w:pPr>
              <w:spacing w:after="160" w:line="256" w:lineRule="auto"/>
              <w:rPr>
                <w:b/>
                <w:sz w:val="22"/>
                <w:u w:val="single"/>
                <w:lang w:val="es-VE"/>
              </w:rPr>
            </w:pPr>
            <w:r w:rsidRPr="004945E1">
              <w:rPr>
                <w:b/>
                <w:sz w:val="22"/>
                <w:u w:val="single"/>
                <w:lang w:val="es-VE"/>
              </w:rPr>
              <w:t>Composición del grupo familiar</w:t>
            </w:r>
          </w:p>
          <w:p w14:paraId="3300570F" w14:textId="77777777" w:rsidR="007271AD" w:rsidRPr="004945E1" w:rsidRDefault="00FB26D9">
            <w:pPr>
              <w:spacing w:after="160" w:line="256" w:lineRule="auto"/>
              <w:rPr>
                <w:sz w:val="22"/>
                <w:lang w:val="es-VE"/>
              </w:rPr>
            </w:pPr>
            <w:r w:rsidRPr="004945E1">
              <w:rPr>
                <w:sz w:val="22"/>
                <w:lang w:val="es-VE"/>
              </w:rPr>
              <w:lastRenderedPageBreak/>
              <w:t xml:space="preserve">Seleccione todas las opciones que describan la composición actual del grupo familiar: </w:t>
            </w:r>
          </w:p>
          <w:p w14:paraId="7AD51558" w14:textId="77777777" w:rsidR="007271AD" w:rsidRPr="004945E1" w:rsidRDefault="00FB26D9">
            <w:pPr>
              <w:pStyle w:val="ListParagraph"/>
              <w:numPr>
                <w:ilvl w:val="0"/>
                <w:numId w:val="31"/>
              </w:numPr>
              <w:spacing w:after="160" w:line="256" w:lineRule="auto"/>
              <w:rPr>
                <w:sz w:val="22"/>
                <w:lang w:val="es-VE"/>
              </w:rPr>
            </w:pPr>
            <w:r w:rsidRPr="004945E1">
              <w:rPr>
                <w:sz w:val="22"/>
                <w:lang w:val="es-VE"/>
              </w:rPr>
              <w:t>Actualmente embarazada (cualquier miembro del hogar)</w:t>
            </w:r>
          </w:p>
          <w:p w14:paraId="540B2D6E" w14:textId="77777777" w:rsidR="007271AD" w:rsidRPr="004945E1" w:rsidRDefault="00FB26D9">
            <w:pPr>
              <w:pStyle w:val="ListParagraph"/>
              <w:numPr>
                <w:ilvl w:val="0"/>
                <w:numId w:val="31"/>
              </w:numPr>
              <w:spacing w:after="160" w:line="256" w:lineRule="auto"/>
              <w:rPr>
                <w:sz w:val="22"/>
                <w:lang w:val="es-VE"/>
              </w:rPr>
            </w:pPr>
            <w:r w:rsidRPr="004945E1">
              <w:rPr>
                <w:sz w:val="22"/>
                <w:lang w:val="es-VE"/>
              </w:rPr>
              <w:t>Hogar monoparental con hijos menores</w:t>
            </w:r>
          </w:p>
          <w:p w14:paraId="17BE1398" w14:textId="77BB4BF2" w:rsidR="007271AD" w:rsidRPr="004945E1" w:rsidRDefault="00FB26D9">
            <w:pPr>
              <w:pStyle w:val="ListParagraph"/>
              <w:numPr>
                <w:ilvl w:val="0"/>
                <w:numId w:val="31"/>
              </w:numPr>
              <w:spacing w:after="160" w:line="256" w:lineRule="auto"/>
              <w:rPr>
                <w:sz w:val="22"/>
                <w:lang w:val="es-VE"/>
              </w:rPr>
            </w:pPr>
            <w:r w:rsidRPr="004945E1">
              <w:rPr>
                <w:sz w:val="22"/>
                <w:lang w:val="es-VE"/>
              </w:rPr>
              <w:t>El hogar incluye a un niño que requiere cuidados significativos</w:t>
            </w:r>
          </w:p>
        </w:tc>
        <w:tc>
          <w:tcPr>
            <w:tcW w:w="4978" w:type="dxa"/>
          </w:tcPr>
          <w:p w14:paraId="104347B8" w14:textId="77777777" w:rsidR="007271AD" w:rsidRPr="004945E1" w:rsidRDefault="007271AD">
            <w:pPr>
              <w:spacing w:after="160" w:line="256" w:lineRule="auto"/>
              <w:rPr>
                <w:i/>
                <w:sz w:val="22"/>
                <w:lang w:val="es-VE"/>
              </w:rPr>
            </w:pPr>
          </w:p>
          <w:p w14:paraId="720272C7" w14:textId="291E2B16" w:rsidR="007271AD" w:rsidRPr="004945E1" w:rsidRDefault="00FB26D9">
            <w:pPr>
              <w:spacing w:after="160" w:line="256" w:lineRule="auto"/>
              <w:rPr>
                <w:i/>
                <w:sz w:val="22"/>
                <w:lang w:val="es-VE"/>
              </w:rPr>
            </w:pPr>
            <w:r w:rsidRPr="004945E1">
              <w:rPr>
                <w:i/>
                <w:sz w:val="22"/>
                <w:lang w:val="es-VE"/>
              </w:rPr>
              <w:t>Seleccione todas las opciones que correspondan</w:t>
            </w:r>
          </w:p>
        </w:tc>
      </w:tr>
      <w:tr w:rsidR="007271AD" w:rsidRPr="004945E1" w14:paraId="4E74F438" w14:textId="77777777">
        <w:tc>
          <w:tcPr>
            <w:tcW w:w="5813" w:type="dxa"/>
          </w:tcPr>
          <w:p w14:paraId="64DB3623" w14:textId="77777777" w:rsidR="007271AD" w:rsidRPr="004945E1" w:rsidRDefault="00FB26D9">
            <w:pPr>
              <w:spacing w:after="160" w:line="256" w:lineRule="auto"/>
              <w:rPr>
                <w:b/>
                <w:sz w:val="22"/>
                <w:u w:val="single"/>
                <w:lang w:val="es-VE"/>
              </w:rPr>
            </w:pPr>
            <w:r w:rsidRPr="004945E1">
              <w:rPr>
                <w:b/>
                <w:sz w:val="22"/>
                <w:u w:val="single"/>
                <w:lang w:val="es-VE"/>
              </w:rPr>
              <w:t>Salud</w:t>
            </w:r>
          </w:p>
          <w:p w14:paraId="6E0E93D8" w14:textId="77777777" w:rsidR="007271AD" w:rsidRPr="004945E1" w:rsidRDefault="007271AD">
            <w:pPr>
              <w:spacing w:after="160" w:line="256" w:lineRule="auto"/>
              <w:rPr>
                <w:sz w:val="22"/>
                <w:lang w:val="es-VE"/>
              </w:rPr>
            </w:pPr>
          </w:p>
          <w:p w14:paraId="605F721C" w14:textId="77777777" w:rsidR="007271AD" w:rsidRPr="004945E1" w:rsidRDefault="007271AD">
            <w:pPr>
              <w:spacing w:after="160" w:line="256" w:lineRule="auto"/>
              <w:rPr>
                <w:sz w:val="22"/>
                <w:lang w:val="es-VE"/>
              </w:rPr>
            </w:pPr>
          </w:p>
          <w:p w14:paraId="6448EECC" w14:textId="0FBCFDC0" w:rsidR="007271AD" w:rsidRPr="004945E1" w:rsidRDefault="00FB26D9">
            <w:pPr>
              <w:spacing w:after="160" w:line="256" w:lineRule="auto"/>
              <w:rPr>
                <w:sz w:val="22"/>
                <w:lang w:val="es-VE"/>
              </w:rPr>
            </w:pPr>
            <w:r w:rsidRPr="004945E1">
              <w:rPr>
                <w:sz w:val="22"/>
                <w:lang w:val="es-VE"/>
              </w:rPr>
              <w:t>¿El jefe de hogar ha sido hospitalizado en el último año?</w:t>
            </w:r>
          </w:p>
          <w:p w14:paraId="452DFE1A" w14:textId="2C90EC99" w:rsidR="007271AD" w:rsidRPr="004945E1" w:rsidRDefault="00FB26D9">
            <w:pPr>
              <w:spacing w:after="160" w:line="256" w:lineRule="auto"/>
              <w:rPr>
                <w:sz w:val="22"/>
                <w:lang w:val="es-VE"/>
              </w:rPr>
            </w:pPr>
            <w:r w:rsidRPr="004945E1">
              <w:rPr>
                <w:sz w:val="22"/>
                <w:lang w:val="es-VE"/>
              </w:rPr>
              <w:t>En caso afirmativo, ¿cuántas veces ha sido hospitalizado o llevado a la sala de emergencias el jefe de hogar durante los últimos 12 meses?</w:t>
            </w:r>
          </w:p>
          <w:p w14:paraId="1DABBD7C" w14:textId="372B9E97" w:rsidR="007271AD" w:rsidRPr="004945E1" w:rsidRDefault="00FB26D9">
            <w:pPr>
              <w:pStyle w:val="ListParagraph"/>
              <w:numPr>
                <w:ilvl w:val="0"/>
                <w:numId w:val="32"/>
              </w:numPr>
              <w:spacing w:after="160" w:line="256" w:lineRule="auto"/>
              <w:rPr>
                <w:sz w:val="22"/>
                <w:lang w:val="es-VE"/>
              </w:rPr>
            </w:pPr>
            <w:r w:rsidRPr="004945E1">
              <w:rPr>
                <w:sz w:val="22"/>
                <w:lang w:val="es-VE"/>
              </w:rPr>
              <w:t>Una sola vez</w:t>
            </w:r>
          </w:p>
          <w:p w14:paraId="1F6FD9F4" w14:textId="0CE77FF1" w:rsidR="007271AD" w:rsidRPr="004945E1" w:rsidRDefault="00FB26D9">
            <w:pPr>
              <w:pStyle w:val="ListParagraph"/>
              <w:numPr>
                <w:ilvl w:val="0"/>
                <w:numId w:val="32"/>
              </w:numPr>
              <w:spacing w:after="160" w:line="256" w:lineRule="auto"/>
              <w:rPr>
                <w:sz w:val="22"/>
                <w:lang w:val="es-VE"/>
              </w:rPr>
            </w:pPr>
            <w:r w:rsidRPr="004945E1">
              <w:rPr>
                <w:sz w:val="22"/>
                <w:lang w:val="es-VE"/>
              </w:rPr>
              <w:t>Dos veces</w:t>
            </w:r>
          </w:p>
          <w:p w14:paraId="2823E57E" w14:textId="01320887" w:rsidR="007271AD" w:rsidRPr="004945E1" w:rsidRDefault="00FB26D9">
            <w:pPr>
              <w:pStyle w:val="ListParagraph"/>
              <w:numPr>
                <w:ilvl w:val="0"/>
                <w:numId w:val="32"/>
              </w:numPr>
              <w:spacing w:after="160" w:line="256" w:lineRule="auto"/>
              <w:rPr>
                <w:sz w:val="22"/>
                <w:lang w:val="es-VE"/>
              </w:rPr>
            </w:pPr>
            <w:r w:rsidRPr="004945E1">
              <w:rPr>
                <w:sz w:val="22"/>
                <w:lang w:val="es-VE"/>
              </w:rPr>
              <w:t>Tres veces o más</w:t>
            </w:r>
          </w:p>
          <w:p w14:paraId="777DD099" w14:textId="5CECED4E" w:rsidR="007271AD" w:rsidRPr="004945E1" w:rsidRDefault="00FB26D9">
            <w:pPr>
              <w:spacing w:after="160" w:line="256" w:lineRule="auto"/>
              <w:rPr>
                <w:sz w:val="22"/>
                <w:lang w:val="es-VE"/>
              </w:rPr>
            </w:pPr>
            <w:r w:rsidRPr="004945E1">
              <w:rPr>
                <w:sz w:val="22"/>
                <w:lang w:val="es-VE"/>
              </w:rPr>
              <w:t>Indique si el jefe de familia tiene alguno de los siguientes:</w:t>
            </w:r>
          </w:p>
          <w:p w14:paraId="0858B709" w14:textId="0CA40BAB" w:rsidR="007271AD" w:rsidRPr="004945E1" w:rsidRDefault="00FB26D9">
            <w:pPr>
              <w:pStyle w:val="ListParagraph"/>
              <w:numPr>
                <w:ilvl w:val="0"/>
                <w:numId w:val="33"/>
              </w:numPr>
              <w:spacing w:after="160" w:line="256" w:lineRule="auto"/>
              <w:rPr>
                <w:sz w:val="22"/>
                <w:lang w:val="es-VE"/>
              </w:rPr>
            </w:pPr>
            <w:r w:rsidRPr="004945E1">
              <w:rPr>
                <w:sz w:val="22"/>
                <w:lang w:val="es-VE"/>
              </w:rPr>
              <w:t>Condición incapacitante que limita significativamente la capacidad de mantener la seguridad en una situación de falta de hogar</w:t>
            </w:r>
          </w:p>
          <w:p w14:paraId="7FF41132" w14:textId="298B7665" w:rsidR="007271AD" w:rsidRPr="004945E1" w:rsidRDefault="00FB26D9">
            <w:pPr>
              <w:pStyle w:val="ListParagraph"/>
              <w:numPr>
                <w:ilvl w:val="0"/>
                <w:numId w:val="33"/>
              </w:numPr>
              <w:spacing w:after="160" w:line="256" w:lineRule="auto"/>
              <w:rPr>
                <w:sz w:val="22"/>
                <w:lang w:val="es-VE"/>
              </w:rPr>
            </w:pPr>
            <w:r w:rsidRPr="004945E1">
              <w:rPr>
                <w:sz w:val="22"/>
                <w:lang w:val="es-VE"/>
              </w:rPr>
              <w:t>Condiciones de salud que contribuyen a la necesidad de tipos de vivienda o apoyos especializados</w:t>
            </w:r>
          </w:p>
          <w:p w14:paraId="6649C34D" w14:textId="5747ABF1" w:rsidR="007271AD" w:rsidRPr="004945E1" w:rsidRDefault="00FB26D9">
            <w:pPr>
              <w:pStyle w:val="ListParagraph"/>
              <w:numPr>
                <w:ilvl w:val="0"/>
                <w:numId w:val="33"/>
              </w:numPr>
              <w:spacing w:after="160" w:line="256" w:lineRule="auto"/>
              <w:rPr>
                <w:sz w:val="22"/>
                <w:lang w:val="es-VE"/>
              </w:rPr>
            </w:pPr>
            <w:r w:rsidRPr="004945E1">
              <w:rPr>
                <w:sz w:val="22"/>
                <w:lang w:val="es-VE"/>
              </w:rPr>
              <w:t>Situación de falta de hogar que no es propicia para las necesidades de administración de medicamentos</w:t>
            </w:r>
          </w:p>
          <w:p w14:paraId="6AA19DD5" w14:textId="575A7B03" w:rsidR="007271AD" w:rsidRPr="004945E1" w:rsidRDefault="007271AD">
            <w:pPr>
              <w:spacing w:after="160" w:line="256" w:lineRule="auto"/>
              <w:rPr>
                <w:sz w:val="22"/>
                <w:lang w:val="es-VE"/>
              </w:rPr>
            </w:pPr>
          </w:p>
        </w:tc>
        <w:tc>
          <w:tcPr>
            <w:tcW w:w="4978" w:type="dxa"/>
          </w:tcPr>
          <w:p w14:paraId="50C09DAE" w14:textId="6D7DDA88" w:rsidR="007271AD" w:rsidRPr="004945E1" w:rsidRDefault="00FB26D9">
            <w:pPr>
              <w:spacing w:after="160" w:line="256" w:lineRule="auto"/>
              <w:rPr>
                <w:i/>
                <w:sz w:val="22"/>
                <w:lang w:val="es-VE"/>
              </w:rPr>
            </w:pPr>
            <w:r w:rsidRPr="004945E1">
              <w:rPr>
                <w:i/>
                <w:sz w:val="22"/>
                <w:lang w:val="es-VE"/>
              </w:rPr>
              <w:t xml:space="preserve">La sección de Salud incluye todos los aspectos de la salud, incluida la salud mental y el uso de sustancias. </w:t>
            </w:r>
          </w:p>
          <w:p w14:paraId="2EE7DC83" w14:textId="77777777" w:rsidR="007271AD" w:rsidRPr="004945E1" w:rsidRDefault="007271AD">
            <w:pPr>
              <w:spacing w:after="160" w:line="256" w:lineRule="auto"/>
              <w:rPr>
                <w:i/>
                <w:sz w:val="22"/>
                <w:lang w:val="es-VE"/>
              </w:rPr>
            </w:pPr>
          </w:p>
          <w:p w14:paraId="3609F14B" w14:textId="77777777" w:rsidR="007271AD" w:rsidRPr="004945E1" w:rsidRDefault="00FB26D9">
            <w:pPr>
              <w:spacing w:after="160" w:line="256" w:lineRule="auto"/>
              <w:rPr>
                <w:i/>
                <w:sz w:val="22"/>
                <w:lang w:val="es-VE"/>
              </w:rPr>
            </w:pPr>
            <w:r w:rsidRPr="004945E1">
              <w:rPr>
                <w:i/>
                <w:sz w:val="22"/>
                <w:lang w:val="es-VE"/>
              </w:rPr>
              <w:t>Seleccione sí o no.</w:t>
            </w:r>
          </w:p>
          <w:p w14:paraId="462C3F68" w14:textId="77777777" w:rsidR="007271AD" w:rsidRPr="004945E1" w:rsidRDefault="007271AD">
            <w:pPr>
              <w:spacing w:after="160" w:line="256" w:lineRule="auto"/>
              <w:rPr>
                <w:i/>
                <w:sz w:val="22"/>
                <w:lang w:val="es-VE"/>
              </w:rPr>
            </w:pPr>
          </w:p>
          <w:p w14:paraId="4B70F24D" w14:textId="15E1F092" w:rsidR="007271AD" w:rsidRPr="004945E1" w:rsidRDefault="00FB26D9">
            <w:pPr>
              <w:spacing w:after="160" w:line="256" w:lineRule="auto"/>
              <w:rPr>
                <w:i/>
                <w:sz w:val="22"/>
                <w:lang w:val="es-VE"/>
              </w:rPr>
            </w:pPr>
            <w:r w:rsidRPr="004945E1">
              <w:rPr>
                <w:i/>
                <w:sz w:val="22"/>
                <w:lang w:val="es-VE"/>
              </w:rPr>
              <w:t>Seleccione el número que mejor se ajuste a la experiencia del jefe de familia. Seleccione una opción.</w:t>
            </w:r>
          </w:p>
          <w:p w14:paraId="0146D139" w14:textId="77777777" w:rsidR="007271AD" w:rsidRPr="004945E1" w:rsidRDefault="007271AD">
            <w:pPr>
              <w:spacing w:after="160" w:line="256" w:lineRule="auto"/>
              <w:rPr>
                <w:i/>
                <w:sz w:val="22"/>
                <w:lang w:val="es-VE"/>
              </w:rPr>
            </w:pPr>
          </w:p>
          <w:p w14:paraId="58E73B09" w14:textId="77777777" w:rsidR="007271AD" w:rsidRPr="004945E1" w:rsidRDefault="007271AD">
            <w:pPr>
              <w:spacing w:after="160" w:line="256" w:lineRule="auto"/>
              <w:rPr>
                <w:i/>
                <w:sz w:val="22"/>
                <w:lang w:val="es-VE"/>
              </w:rPr>
            </w:pPr>
          </w:p>
          <w:p w14:paraId="4C96D4C9" w14:textId="77777777" w:rsidR="007271AD" w:rsidRPr="004945E1" w:rsidRDefault="00FB26D9">
            <w:pPr>
              <w:spacing w:after="160" w:line="256" w:lineRule="auto"/>
              <w:rPr>
                <w:i/>
                <w:sz w:val="22"/>
                <w:lang w:val="es-VE"/>
              </w:rPr>
            </w:pPr>
            <w:r w:rsidRPr="004945E1">
              <w:rPr>
                <w:i/>
                <w:sz w:val="22"/>
                <w:lang w:val="es-VE"/>
              </w:rPr>
              <w:t xml:space="preserve">Seleccione todas las opciones que correspondan. </w:t>
            </w:r>
          </w:p>
          <w:p w14:paraId="2D817EFA" w14:textId="77777777" w:rsidR="007271AD" w:rsidRPr="004945E1" w:rsidRDefault="007271AD">
            <w:pPr>
              <w:spacing w:after="160" w:line="256" w:lineRule="auto"/>
              <w:rPr>
                <w:i/>
                <w:sz w:val="22"/>
                <w:lang w:val="es-VE"/>
              </w:rPr>
            </w:pPr>
          </w:p>
          <w:p w14:paraId="5530DC01" w14:textId="7324818B" w:rsidR="007271AD" w:rsidRPr="004945E1" w:rsidRDefault="00FB26D9">
            <w:pPr>
              <w:spacing w:after="160" w:line="256" w:lineRule="auto"/>
              <w:rPr>
                <w:i/>
                <w:sz w:val="22"/>
                <w:lang w:val="es-VE"/>
              </w:rPr>
            </w:pPr>
            <w:r w:rsidRPr="004945E1">
              <w:rPr>
                <w:i/>
                <w:sz w:val="22"/>
                <w:lang w:val="es-VE"/>
              </w:rPr>
              <w:t xml:space="preserve">La información utilizada para responder a esta sección puede ser autoinformada por la persona y/u observada por el evaluador. Es importante centrarse en la propia experiencia de las personas, por lo que el autoinforme de cualquiera de estas experiencias tiene prioridad sobre la perspectiva de los evaluadores. Por ejemplo, si una persona siente que su situación de falta de hogar no es propicia para las necesidades de administración de medicamentos, pero el evaluador tiene una perspectiva diferente, es importante valorar la propia experiencia de la persona. </w:t>
            </w:r>
          </w:p>
        </w:tc>
      </w:tr>
      <w:tr w:rsidR="007271AD" w:rsidRPr="004945E1" w14:paraId="40AEDE9A" w14:textId="77777777">
        <w:tc>
          <w:tcPr>
            <w:tcW w:w="5813" w:type="dxa"/>
          </w:tcPr>
          <w:p w14:paraId="250412CB" w14:textId="77777777" w:rsidR="007271AD" w:rsidRPr="004945E1" w:rsidRDefault="00FB26D9">
            <w:pPr>
              <w:spacing w:after="160" w:line="256" w:lineRule="auto"/>
              <w:rPr>
                <w:b/>
                <w:sz w:val="22"/>
                <w:u w:val="single"/>
                <w:lang w:val="es-VE"/>
              </w:rPr>
            </w:pPr>
            <w:r w:rsidRPr="004945E1">
              <w:rPr>
                <w:b/>
                <w:sz w:val="22"/>
                <w:u w:val="single"/>
                <w:lang w:val="es-VE"/>
              </w:rPr>
              <w:t>Salud mental</w:t>
            </w:r>
          </w:p>
          <w:p w14:paraId="445873B7" w14:textId="4E56B05C" w:rsidR="007271AD" w:rsidRPr="004945E1" w:rsidRDefault="00FB26D9">
            <w:pPr>
              <w:spacing w:after="160" w:line="256" w:lineRule="auto"/>
              <w:rPr>
                <w:sz w:val="22"/>
                <w:lang w:val="es-VE"/>
              </w:rPr>
            </w:pPr>
            <w:r w:rsidRPr="004945E1">
              <w:rPr>
                <w:sz w:val="22"/>
                <w:lang w:val="es-VE"/>
              </w:rPr>
              <w:t>Indique si el jefe de hogar tiene:</w:t>
            </w:r>
          </w:p>
          <w:p w14:paraId="0113E5A8" w14:textId="77777777" w:rsidR="007271AD" w:rsidRPr="004945E1" w:rsidRDefault="00FB26D9">
            <w:pPr>
              <w:pStyle w:val="ListParagraph"/>
              <w:numPr>
                <w:ilvl w:val="0"/>
                <w:numId w:val="34"/>
              </w:numPr>
              <w:spacing w:after="160" w:line="256" w:lineRule="auto"/>
              <w:rPr>
                <w:sz w:val="22"/>
                <w:lang w:val="es-VE"/>
              </w:rPr>
            </w:pPr>
            <w:r w:rsidRPr="004945E1">
              <w:rPr>
                <w:sz w:val="22"/>
                <w:lang w:val="es-VE"/>
              </w:rPr>
              <w:t>Historial de salud mental que ha llevado a impactos adversos o inestabilidad en la vivienda</w:t>
            </w:r>
          </w:p>
          <w:p w14:paraId="63CFDD1F" w14:textId="53A39A4E" w:rsidR="007271AD" w:rsidRPr="004945E1" w:rsidRDefault="00FB26D9">
            <w:pPr>
              <w:pStyle w:val="ListParagraph"/>
              <w:numPr>
                <w:ilvl w:val="0"/>
                <w:numId w:val="34"/>
              </w:numPr>
              <w:spacing w:after="160" w:line="256" w:lineRule="auto"/>
              <w:rPr>
                <w:sz w:val="22"/>
                <w:lang w:val="es-VE"/>
              </w:rPr>
            </w:pPr>
            <w:r w:rsidRPr="004945E1">
              <w:rPr>
                <w:sz w:val="22"/>
                <w:lang w:val="es-VE"/>
              </w:rPr>
              <w:t>La salud mental actual que ha sido una barrera para la vivienda</w:t>
            </w:r>
          </w:p>
        </w:tc>
        <w:tc>
          <w:tcPr>
            <w:tcW w:w="4978" w:type="dxa"/>
          </w:tcPr>
          <w:p w14:paraId="592FED30" w14:textId="77777777" w:rsidR="007271AD" w:rsidRPr="004945E1" w:rsidRDefault="007271AD">
            <w:pPr>
              <w:spacing w:after="160" w:line="256" w:lineRule="auto"/>
              <w:rPr>
                <w:i/>
                <w:sz w:val="22"/>
                <w:lang w:val="es-VE"/>
              </w:rPr>
            </w:pPr>
          </w:p>
          <w:p w14:paraId="3862C867" w14:textId="5D453382" w:rsidR="007271AD" w:rsidRPr="004945E1" w:rsidRDefault="00FB26D9">
            <w:pPr>
              <w:spacing w:after="160" w:line="256" w:lineRule="auto"/>
              <w:rPr>
                <w:i/>
                <w:sz w:val="22"/>
                <w:lang w:val="es-VE"/>
              </w:rPr>
            </w:pPr>
            <w:r w:rsidRPr="004945E1">
              <w:rPr>
                <w:i/>
                <w:sz w:val="22"/>
                <w:lang w:val="es-VE"/>
              </w:rPr>
              <w:t>Seleccione todas las opciones que correspondan. La información utilizada para responder a esta sección puede ser autoinformada y/u observada o conocida por el evaluador.</w:t>
            </w:r>
          </w:p>
        </w:tc>
      </w:tr>
      <w:tr w:rsidR="007271AD" w:rsidRPr="004945E1" w14:paraId="57CA5042" w14:textId="77777777">
        <w:tc>
          <w:tcPr>
            <w:tcW w:w="5813" w:type="dxa"/>
          </w:tcPr>
          <w:p w14:paraId="2831E7CD" w14:textId="6C2DBA71" w:rsidR="007271AD" w:rsidRPr="004945E1" w:rsidRDefault="00FB26D9">
            <w:pPr>
              <w:spacing w:after="160" w:line="256" w:lineRule="auto"/>
              <w:rPr>
                <w:b/>
                <w:sz w:val="22"/>
                <w:u w:val="single"/>
                <w:lang w:val="es-VE"/>
              </w:rPr>
            </w:pPr>
            <w:r w:rsidRPr="004945E1">
              <w:rPr>
                <w:b/>
                <w:sz w:val="22"/>
                <w:u w:val="single"/>
                <w:lang w:val="es-VE"/>
              </w:rPr>
              <w:t>Consumo de sustancias</w:t>
            </w:r>
          </w:p>
          <w:p w14:paraId="1D965E98" w14:textId="083D2072" w:rsidR="007271AD" w:rsidRPr="004945E1" w:rsidRDefault="00FB26D9">
            <w:pPr>
              <w:spacing w:after="160" w:line="256" w:lineRule="auto"/>
              <w:rPr>
                <w:sz w:val="22"/>
                <w:lang w:val="es-VE"/>
              </w:rPr>
            </w:pPr>
            <w:r w:rsidRPr="004945E1">
              <w:rPr>
                <w:sz w:val="22"/>
                <w:lang w:val="es-VE"/>
              </w:rPr>
              <w:lastRenderedPageBreak/>
              <w:t>Indique si el jefe de hogar tiene:</w:t>
            </w:r>
          </w:p>
          <w:p w14:paraId="07385D26" w14:textId="77777777" w:rsidR="007271AD" w:rsidRPr="004945E1" w:rsidRDefault="00FB26D9">
            <w:pPr>
              <w:pStyle w:val="ListParagraph"/>
              <w:numPr>
                <w:ilvl w:val="0"/>
                <w:numId w:val="34"/>
              </w:numPr>
              <w:spacing w:after="160" w:line="256" w:lineRule="auto"/>
              <w:rPr>
                <w:sz w:val="22"/>
                <w:lang w:val="es-VE"/>
              </w:rPr>
            </w:pPr>
            <w:r w:rsidRPr="004945E1">
              <w:rPr>
                <w:sz w:val="22"/>
                <w:lang w:val="es-VE"/>
              </w:rPr>
              <w:t>Historial de uso de sustancias que ha llevado a impactos adversos o inestabilidad en la vivienda</w:t>
            </w:r>
          </w:p>
          <w:p w14:paraId="0590271C" w14:textId="4CCD9954" w:rsidR="007271AD" w:rsidRPr="004945E1" w:rsidRDefault="00FB26D9">
            <w:pPr>
              <w:pStyle w:val="ListParagraph"/>
              <w:numPr>
                <w:ilvl w:val="0"/>
                <w:numId w:val="34"/>
              </w:numPr>
              <w:spacing w:after="160" w:line="256" w:lineRule="auto"/>
              <w:rPr>
                <w:sz w:val="22"/>
                <w:lang w:val="es-VE"/>
              </w:rPr>
            </w:pPr>
            <w:r w:rsidRPr="004945E1">
              <w:rPr>
                <w:sz w:val="22"/>
                <w:lang w:val="es-VE"/>
              </w:rPr>
              <w:t>Consumo actual de sustancias que ha sido una barrera para la vivienda</w:t>
            </w:r>
          </w:p>
        </w:tc>
        <w:tc>
          <w:tcPr>
            <w:tcW w:w="4978" w:type="dxa"/>
          </w:tcPr>
          <w:p w14:paraId="070E7523" w14:textId="77777777" w:rsidR="007271AD" w:rsidRPr="004945E1" w:rsidRDefault="007271AD">
            <w:pPr>
              <w:spacing w:after="160" w:line="256" w:lineRule="auto"/>
              <w:rPr>
                <w:i/>
                <w:sz w:val="22"/>
                <w:lang w:val="es-VE"/>
              </w:rPr>
            </w:pPr>
          </w:p>
          <w:p w14:paraId="06391AEB" w14:textId="4971A149" w:rsidR="007271AD" w:rsidRPr="004945E1" w:rsidRDefault="00FB26D9">
            <w:pPr>
              <w:spacing w:after="160" w:line="256" w:lineRule="auto"/>
              <w:rPr>
                <w:i/>
                <w:sz w:val="22"/>
                <w:lang w:val="es-VE"/>
              </w:rPr>
            </w:pPr>
            <w:r w:rsidRPr="004945E1">
              <w:rPr>
                <w:i/>
                <w:sz w:val="22"/>
                <w:lang w:val="es-VE"/>
              </w:rPr>
              <w:lastRenderedPageBreak/>
              <w:t>Seleccione todas las opciones que correspondan. La información utilizada para responder a esta sección puede ser autoinformada y/u observada o conocida por el evaluador.</w:t>
            </w:r>
          </w:p>
        </w:tc>
      </w:tr>
      <w:tr w:rsidR="007271AD" w:rsidRPr="004945E1" w14:paraId="6B4F820B" w14:textId="77777777">
        <w:tc>
          <w:tcPr>
            <w:tcW w:w="5813" w:type="dxa"/>
          </w:tcPr>
          <w:p w14:paraId="70AD14DF" w14:textId="77777777" w:rsidR="007271AD" w:rsidRPr="004945E1" w:rsidRDefault="00FB26D9">
            <w:pPr>
              <w:spacing w:after="160" w:line="256" w:lineRule="auto"/>
              <w:rPr>
                <w:b/>
                <w:sz w:val="22"/>
                <w:u w:val="single"/>
                <w:lang w:val="es-VE"/>
              </w:rPr>
            </w:pPr>
            <w:r w:rsidRPr="004945E1">
              <w:rPr>
                <w:b/>
                <w:sz w:val="22"/>
                <w:u w:val="single"/>
                <w:lang w:val="es-VE"/>
              </w:rPr>
              <w:lastRenderedPageBreak/>
              <w:t>Seguridad</w:t>
            </w:r>
          </w:p>
          <w:p w14:paraId="7D0EAD2D" w14:textId="77777777" w:rsidR="007271AD" w:rsidRPr="004945E1" w:rsidRDefault="00FB26D9">
            <w:pPr>
              <w:spacing w:after="160" w:line="256" w:lineRule="auto"/>
              <w:rPr>
                <w:sz w:val="22"/>
                <w:lang w:val="es-VE"/>
              </w:rPr>
            </w:pPr>
            <w:r w:rsidRPr="004945E1">
              <w:rPr>
                <w:sz w:val="22"/>
                <w:lang w:val="es-VE"/>
              </w:rPr>
              <w:t xml:space="preserve">Indique si algún miembro del hogar: </w:t>
            </w:r>
          </w:p>
          <w:p w14:paraId="447EAD4D" w14:textId="4A0F8281" w:rsidR="007271AD" w:rsidRPr="004945E1" w:rsidRDefault="00FB26D9">
            <w:pPr>
              <w:pStyle w:val="ListParagraph"/>
              <w:numPr>
                <w:ilvl w:val="0"/>
                <w:numId w:val="35"/>
              </w:numPr>
              <w:spacing w:after="160" w:line="256" w:lineRule="auto"/>
              <w:rPr>
                <w:sz w:val="22"/>
                <w:lang w:val="es-VE"/>
              </w:rPr>
            </w:pPr>
            <w:r w:rsidRPr="004945E1">
              <w:rPr>
                <w:sz w:val="22"/>
                <w:lang w:val="es-VE"/>
              </w:rPr>
              <w:t>Está en riesgo de trata, explotación o violencia</w:t>
            </w:r>
          </w:p>
          <w:p w14:paraId="500E63E8" w14:textId="77777777" w:rsidR="007271AD" w:rsidRPr="004945E1" w:rsidRDefault="007271AD">
            <w:pPr>
              <w:pStyle w:val="ListParagraph"/>
              <w:spacing w:after="160" w:line="256" w:lineRule="auto"/>
              <w:rPr>
                <w:sz w:val="22"/>
                <w:lang w:val="es-VE"/>
              </w:rPr>
            </w:pPr>
          </w:p>
          <w:p w14:paraId="52EF9982" w14:textId="310BCCFB" w:rsidR="007271AD" w:rsidRPr="004945E1" w:rsidRDefault="00FB26D9">
            <w:pPr>
              <w:pStyle w:val="ListParagraph"/>
              <w:numPr>
                <w:ilvl w:val="0"/>
                <w:numId w:val="35"/>
              </w:numPr>
              <w:spacing w:after="160" w:line="256" w:lineRule="auto"/>
              <w:rPr>
                <w:sz w:val="22"/>
                <w:lang w:val="es-VE"/>
              </w:rPr>
            </w:pPr>
            <w:r w:rsidRPr="004945E1">
              <w:rPr>
                <w:sz w:val="22"/>
                <w:lang w:val="es-VE"/>
              </w:rPr>
              <w:t>Ha experimentado violencia física en situación de falta de hogar en los últimos 90 días</w:t>
            </w:r>
          </w:p>
        </w:tc>
        <w:tc>
          <w:tcPr>
            <w:tcW w:w="4978" w:type="dxa"/>
          </w:tcPr>
          <w:p w14:paraId="674CA821" w14:textId="18271D7B" w:rsidR="007271AD" w:rsidRPr="004945E1" w:rsidRDefault="00FB26D9">
            <w:pPr>
              <w:spacing w:after="160" w:line="256" w:lineRule="auto"/>
              <w:rPr>
                <w:i/>
                <w:sz w:val="22"/>
                <w:lang w:val="es-VE"/>
              </w:rPr>
            </w:pPr>
            <w:r w:rsidRPr="004945E1">
              <w:rPr>
                <w:i/>
                <w:sz w:val="22"/>
                <w:lang w:val="es-VE"/>
              </w:rPr>
              <w:t>Seleccione todas las opciones que correspondan. La información utilizada para responder a esta sección puede ser autoinformada y/u observada o conocida por el evaluador.</w:t>
            </w:r>
          </w:p>
          <w:p w14:paraId="40E7E79F" w14:textId="77777777" w:rsidR="007271AD" w:rsidRPr="004945E1" w:rsidRDefault="00FB26D9">
            <w:pPr>
              <w:spacing w:after="160" w:line="256" w:lineRule="auto"/>
              <w:rPr>
                <w:i/>
                <w:sz w:val="22"/>
                <w:lang w:val="es-VE"/>
              </w:rPr>
            </w:pPr>
            <w:r w:rsidRPr="004945E1">
              <w:rPr>
                <w:i/>
                <w:sz w:val="22"/>
                <w:lang w:val="es-VE"/>
              </w:rPr>
              <w:t xml:space="preserve">La violencia puede significar cualquier forma de violencia y puede ser real o percibida. </w:t>
            </w:r>
          </w:p>
          <w:p w14:paraId="4CE0E8CB" w14:textId="1C09D974" w:rsidR="007271AD" w:rsidRPr="004945E1" w:rsidRDefault="007271AD">
            <w:pPr>
              <w:spacing w:after="160" w:line="256" w:lineRule="auto"/>
              <w:rPr>
                <w:i/>
                <w:sz w:val="22"/>
                <w:lang w:val="es-VE"/>
              </w:rPr>
            </w:pPr>
          </w:p>
        </w:tc>
      </w:tr>
      <w:tr w:rsidR="007271AD" w:rsidRPr="004945E1" w14:paraId="4D21AA80" w14:textId="77777777">
        <w:tc>
          <w:tcPr>
            <w:tcW w:w="5813" w:type="dxa"/>
          </w:tcPr>
          <w:p w14:paraId="37A07A44" w14:textId="77777777" w:rsidR="007271AD" w:rsidRPr="004945E1" w:rsidRDefault="00FB26D9">
            <w:pPr>
              <w:spacing w:after="160" w:line="256" w:lineRule="auto"/>
              <w:rPr>
                <w:b/>
                <w:sz w:val="22"/>
                <w:u w:val="single"/>
                <w:lang w:val="es-VE"/>
              </w:rPr>
            </w:pPr>
            <w:r w:rsidRPr="004945E1">
              <w:rPr>
                <w:b/>
                <w:sz w:val="22"/>
                <w:u w:val="single"/>
                <w:lang w:val="es-VE"/>
              </w:rPr>
              <w:t>Recursos y apoyos</w:t>
            </w:r>
          </w:p>
          <w:p w14:paraId="2E9F1ACA" w14:textId="77777777" w:rsidR="007271AD" w:rsidRPr="004945E1" w:rsidRDefault="00FB26D9">
            <w:pPr>
              <w:spacing w:after="160" w:line="256" w:lineRule="auto"/>
              <w:rPr>
                <w:sz w:val="22"/>
                <w:lang w:val="es-VE"/>
              </w:rPr>
            </w:pPr>
            <w:r w:rsidRPr="004945E1">
              <w:rPr>
                <w:sz w:val="22"/>
                <w:lang w:val="es-VE"/>
              </w:rPr>
              <w:t xml:space="preserve">Indique si el jefe de hogar: </w:t>
            </w:r>
          </w:p>
          <w:p w14:paraId="6EF9E742" w14:textId="77777777" w:rsidR="007271AD" w:rsidRPr="004945E1" w:rsidRDefault="00FB26D9">
            <w:pPr>
              <w:pStyle w:val="ListParagraph"/>
              <w:numPr>
                <w:ilvl w:val="0"/>
                <w:numId w:val="36"/>
              </w:numPr>
              <w:spacing w:after="160" w:line="256" w:lineRule="auto"/>
              <w:rPr>
                <w:sz w:val="22"/>
                <w:lang w:val="es-VE"/>
              </w:rPr>
            </w:pPr>
            <w:r w:rsidRPr="004945E1">
              <w:rPr>
                <w:sz w:val="22"/>
                <w:lang w:val="es-VE"/>
              </w:rPr>
              <w:t>Carece de redes familiares, sociales u otras redes comunitarias que puedan apoyar las necesidades de vivienda</w:t>
            </w:r>
          </w:p>
          <w:p w14:paraId="46F368F3" w14:textId="33611489" w:rsidR="007271AD" w:rsidRPr="004945E1" w:rsidRDefault="00FB26D9">
            <w:pPr>
              <w:pStyle w:val="ListParagraph"/>
              <w:numPr>
                <w:ilvl w:val="0"/>
                <w:numId w:val="36"/>
              </w:numPr>
              <w:spacing w:after="160" w:line="256" w:lineRule="auto"/>
              <w:rPr>
                <w:sz w:val="22"/>
                <w:lang w:val="es-VE"/>
              </w:rPr>
            </w:pPr>
            <w:r w:rsidRPr="004945E1">
              <w:rPr>
                <w:sz w:val="22"/>
                <w:lang w:val="es-VE"/>
              </w:rPr>
              <w:t xml:space="preserve">Nunca ha tenido contrato de arrendamiento a su nombre </w:t>
            </w:r>
          </w:p>
        </w:tc>
        <w:tc>
          <w:tcPr>
            <w:tcW w:w="4978" w:type="dxa"/>
          </w:tcPr>
          <w:p w14:paraId="2463235B" w14:textId="77777777" w:rsidR="007271AD" w:rsidRPr="004945E1" w:rsidRDefault="007271AD">
            <w:pPr>
              <w:spacing w:after="160" w:line="256" w:lineRule="auto"/>
              <w:rPr>
                <w:i/>
                <w:sz w:val="22"/>
                <w:lang w:val="es-VE"/>
              </w:rPr>
            </w:pPr>
          </w:p>
          <w:p w14:paraId="1E7FC0FF" w14:textId="60D63951" w:rsidR="007271AD" w:rsidRPr="004945E1" w:rsidRDefault="00FB26D9">
            <w:pPr>
              <w:spacing w:after="160" w:line="256" w:lineRule="auto"/>
              <w:rPr>
                <w:i/>
                <w:sz w:val="22"/>
                <w:lang w:val="es-VE"/>
              </w:rPr>
            </w:pPr>
            <w:r w:rsidRPr="004945E1">
              <w:rPr>
                <w:i/>
                <w:sz w:val="22"/>
                <w:lang w:val="es-VE"/>
              </w:rPr>
              <w:t>Seleccione todas las opciones que correspondan. La información utilizada para responder a esta sección puede ser autoinformada y/u observada o conocida por el evaluador.</w:t>
            </w:r>
          </w:p>
          <w:p w14:paraId="030E0D52" w14:textId="2654F5B7" w:rsidR="007271AD" w:rsidRPr="004945E1" w:rsidRDefault="007271AD">
            <w:pPr>
              <w:spacing w:after="160" w:line="256" w:lineRule="auto"/>
              <w:rPr>
                <w:i/>
                <w:sz w:val="22"/>
                <w:lang w:val="es-VE"/>
              </w:rPr>
            </w:pPr>
          </w:p>
        </w:tc>
      </w:tr>
      <w:tr w:rsidR="007271AD" w:rsidRPr="004945E1" w14:paraId="0797E85A" w14:textId="77777777">
        <w:tc>
          <w:tcPr>
            <w:tcW w:w="5813" w:type="dxa"/>
          </w:tcPr>
          <w:p w14:paraId="3D44C670" w14:textId="77777777" w:rsidR="007271AD" w:rsidRPr="004945E1" w:rsidRDefault="00FB26D9">
            <w:pPr>
              <w:spacing w:after="160" w:line="256" w:lineRule="auto"/>
              <w:rPr>
                <w:b/>
                <w:sz w:val="22"/>
                <w:u w:val="single"/>
                <w:lang w:val="es-VE"/>
              </w:rPr>
            </w:pPr>
            <w:r w:rsidRPr="004945E1">
              <w:rPr>
                <w:b/>
                <w:sz w:val="22"/>
                <w:u w:val="single"/>
                <w:lang w:val="es-VE"/>
              </w:rPr>
              <w:t>Poblaciones sobrerrepresentadas</w:t>
            </w:r>
          </w:p>
          <w:p w14:paraId="16850950" w14:textId="535512A8" w:rsidR="007271AD" w:rsidRPr="004945E1" w:rsidRDefault="00FB26D9">
            <w:pPr>
              <w:pStyle w:val="BodyText"/>
              <w:spacing w:before="6"/>
              <w:rPr>
                <w:i/>
                <w:sz w:val="24"/>
                <w:lang w:val="es-VE"/>
              </w:rPr>
            </w:pPr>
            <w:r w:rsidRPr="004945E1">
              <w:rPr>
                <w:i/>
                <w:sz w:val="22"/>
                <w:lang w:val="es-VE"/>
              </w:rPr>
              <w:t xml:space="preserve">Los hogares que incluyen uno o más miembros que forman parte de una población sobrerrepresentada en el sistema para personas sin hogar en comparación con la población general recibirán hasta 8 puntos adicionales, según la información proporcionada en la sección Información Básica de esta herramienta. </w:t>
            </w:r>
          </w:p>
          <w:p w14:paraId="4956288D" w14:textId="172338BF" w:rsidR="007271AD" w:rsidRPr="004945E1" w:rsidRDefault="007271AD">
            <w:pPr>
              <w:spacing w:after="160" w:line="256" w:lineRule="auto"/>
              <w:rPr>
                <w:b/>
                <w:sz w:val="22"/>
                <w:u w:val="single"/>
                <w:lang w:val="es-VE"/>
              </w:rPr>
            </w:pPr>
          </w:p>
        </w:tc>
        <w:tc>
          <w:tcPr>
            <w:tcW w:w="4978" w:type="dxa"/>
          </w:tcPr>
          <w:p w14:paraId="095E7414" w14:textId="73D7D71E" w:rsidR="007271AD" w:rsidRPr="004945E1" w:rsidRDefault="00FB26D9">
            <w:pPr>
              <w:spacing w:after="160" w:line="256" w:lineRule="auto"/>
              <w:rPr>
                <w:i/>
                <w:sz w:val="22"/>
                <w:lang w:val="es-VE"/>
              </w:rPr>
            </w:pPr>
            <w:r w:rsidRPr="004945E1">
              <w:rPr>
                <w:i/>
                <w:sz w:val="22"/>
                <w:lang w:val="es-VE"/>
              </w:rPr>
              <w:t xml:space="preserve">Los evaluadores no son responsables de contar estos puntos, ya que se calcularán automáticamente con la información extraída de Información Básica. Esta información puede extraerse de las respuestas a la raza, el origen étnico, la identidad de género, la identidad LGBTQ+ y otros factores. CoC reevaluará los datos anualmente para actualizar las poblaciones sobrerrepresentadas. </w:t>
            </w:r>
          </w:p>
        </w:tc>
      </w:tr>
    </w:tbl>
    <w:p w14:paraId="2ACA5BDE" w14:textId="5DAC9E20" w:rsidR="007271AD" w:rsidRPr="004945E1" w:rsidRDefault="007271AD">
      <w:pPr>
        <w:rPr>
          <w:sz w:val="22"/>
          <w:lang w:val="es-VE"/>
        </w:rPr>
      </w:pPr>
    </w:p>
    <w:tbl>
      <w:tblPr>
        <w:tblStyle w:val="TableGrid"/>
        <w:tblW w:w="10791" w:type="dxa"/>
        <w:tblLook w:val="04A0" w:firstRow="1" w:lastRow="0" w:firstColumn="1" w:lastColumn="0" w:noHBand="0" w:noVBand="1"/>
      </w:tblPr>
      <w:tblGrid>
        <w:gridCol w:w="5813"/>
        <w:gridCol w:w="4978"/>
      </w:tblGrid>
      <w:tr w:rsidR="007271AD" w:rsidRPr="004945E1" w14:paraId="1A43DB37" w14:textId="77777777">
        <w:tc>
          <w:tcPr>
            <w:tcW w:w="10791" w:type="dxa"/>
            <w:gridSpan w:val="2"/>
          </w:tcPr>
          <w:p w14:paraId="09556588" w14:textId="4A3D8879" w:rsidR="007271AD" w:rsidRPr="004945E1" w:rsidRDefault="00FB26D9">
            <w:pPr>
              <w:spacing w:after="160" w:line="256" w:lineRule="auto"/>
              <w:jc w:val="center"/>
              <w:rPr>
                <w:i/>
                <w:sz w:val="20"/>
                <w:lang w:val="es-VE"/>
              </w:rPr>
            </w:pPr>
            <w:r w:rsidRPr="004945E1">
              <w:rPr>
                <w:b/>
                <w:sz w:val="28"/>
                <w:u w:val="single"/>
                <w:lang w:val="es-VE"/>
              </w:rPr>
              <w:t>Sección 7: Consideraciones de ajuste de vivienda</w:t>
            </w:r>
            <w:r w:rsidRPr="004945E1">
              <w:rPr>
                <w:i/>
                <w:sz w:val="20"/>
                <w:lang w:val="es-VE"/>
              </w:rPr>
              <w:t xml:space="preserve"> </w:t>
            </w:r>
          </w:p>
          <w:p w14:paraId="2C24C91B" w14:textId="0F0CB41F" w:rsidR="007271AD" w:rsidRPr="004945E1" w:rsidRDefault="00FB26D9">
            <w:pPr>
              <w:spacing w:after="160" w:line="256" w:lineRule="auto"/>
              <w:jc w:val="center"/>
              <w:rPr>
                <w:i/>
                <w:sz w:val="22"/>
                <w:lang w:val="es-VE"/>
              </w:rPr>
            </w:pPr>
            <w:r w:rsidRPr="004945E1">
              <w:rPr>
                <w:i/>
                <w:sz w:val="20"/>
                <w:lang w:val="es-VE"/>
              </w:rPr>
              <w:t xml:space="preserve">El propósito de esta sección es identificar las consideraciones, incluidas las barreras y las preferencias, que deben tenerse en cuenta al hacer una combinación de viviendas. Esta lista </w:t>
            </w:r>
            <w:r w:rsidRPr="004945E1">
              <w:rPr>
                <w:i/>
                <w:sz w:val="20"/>
                <w:u w:val="single"/>
                <w:lang w:val="es-VE"/>
              </w:rPr>
              <w:t>no</w:t>
            </w:r>
            <w:r w:rsidRPr="004945E1">
              <w:rPr>
                <w:i/>
                <w:sz w:val="20"/>
                <w:lang w:val="es-VE"/>
              </w:rPr>
              <w:t xml:space="preserve"> es exhaustiva de todas las consideraciones que los socios de CoC y CE deben tomar al hacer y aceptar referencias. </w:t>
            </w:r>
          </w:p>
        </w:tc>
      </w:tr>
      <w:tr w:rsidR="007271AD" w:rsidRPr="004945E1" w14:paraId="703BF712" w14:textId="77777777">
        <w:tc>
          <w:tcPr>
            <w:tcW w:w="5813" w:type="dxa"/>
            <w:hideMark/>
          </w:tcPr>
          <w:p w14:paraId="383D8E9E" w14:textId="7ABDE837" w:rsidR="007271AD" w:rsidRPr="004945E1" w:rsidRDefault="00FB26D9">
            <w:pPr>
              <w:spacing w:after="160" w:line="256" w:lineRule="auto"/>
              <w:jc w:val="center"/>
              <w:rPr>
                <w:b/>
                <w:sz w:val="22"/>
                <w:lang w:val="es-VE"/>
              </w:rPr>
            </w:pPr>
            <w:r w:rsidRPr="004945E1">
              <w:rPr>
                <w:b/>
                <w:sz w:val="22"/>
                <w:lang w:val="es-VE"/>
              </w:rPr>
              <w:t>Consideraciones</w:t>
            </w:r>
          </w:p>
        </w:tc>
        <w:tc>
          <w:tcPr>
            <w:tcW w:w="4978" w:type="dxa"/>
            <w:hideMark/>
          </w:tcPr>
          <w:p w14:paraId="2C9521BC" w14:textId="77777777" w:rsidR="007271AD" w:rsidRPr="004945E1" w:rsidRDefault="00FB26D9">
            <w:pPr>
              <w:spacing w:after="160" w:line="256" w:lineRule="auto"/>
              <w:jc w:val="center"/>
              <w:rPr>
                <w:b/>
                <w:sz w:val="22"/>
                <w:lang w:val="es-VE"/>
              </w:rPr>
            </w:pPr>
            <w:r w:rsidRPr="004945E1">
              <w:rPr>
                <w:b/>
                <w:sz w:val="22"/>
                <w:lang w:val="es-VE"/>
              </w:rPr>
              <w:t>Aclaración y ejemplos</w:t>
            </w:r>
          </w:p>
        </w:tc>
      </w:tr>
      <w:tr w:rsidR="007271AD" w:rsidRPr="004945E1" w14:paraId="23666E94" w14:textId="77777777">
        <w:trPr>
          <w:trHeight w:val="755"/>
        </w:trPr>
        <w:tc>
          <w:tcPr>
            <w:tcW w:w="5813" w:type="dxa"/>
          </w:tcPr>
          <w:p w14:paraId="2F14B901" w14:textId="4790F766" w:rsidR="007271AD" w:rsidRPr="004945E1" w:rsidRDefault="00FB26D9">
            <w:pPr>
              <w:pStyle w:val="BodyText"/>
              <w:tabs>
                <w:tab w:val="left" w:pos="1048"/>
                <w:tab w:val="left" w:pos="6182"/>
                <w:tab w:val="left" w:pos="6718"/>
              </w:tabs>
              <w:spacing w:before="49"/>
              <w:rPr>
                <w:sz w:val="22"/>
                <w:lang w:val="es-VE"/>
              </w:rPr>
            </w:pPr>
            <w:r w:rsidRPr="004945E1">
              <w:rPr>
                <w:sz w:val="22"/>
                <w:lang w:val="es-VE"/>
              </w:rPr>
              <w:t xml:space="preserve">Consulte la Herramienta para la Evaluación para obtener una lista completa </w:t>
            </w:r>
          </w:p>
        </w:tc>
        <w:tc>
          <w:tcPr>
            <w:tcW w:w="4978" w:type="dxa"/>
          </w:tcPr>
          <w:p w14:paraId="490A18CE" w14:textId="29E65F90" w:rsidR="007271AD" w:rsidRPr="004945E1" w:rsidRDefault="00FB26D9">
            <w:pPr>
              <w:spacing w:after="160" w:line="256" w:lineRule="auto"/>
              <w:rPr>
                <w:i/>
                <w:sz w:val="22"/>
                <w:lang w:val="es-VE"/>
              </w:rPr>
            </w:pPr>
            <w:r w:rsidRPr="004945E1">
              <w:rPr>
                <w:i/>
                <w:sz w:val="22"/>
                <w:lang w:val="es-VE"/>
              </w:rPr>
              <w:t xml:space="preserve">Seleccione todas las que correspondan. </w:t>
            </w:r>
          </w:p>
        </w:tc>
      </w:tr>
    </w:tbl>
    <w:p w14:paraId="20C3E296" w14:textId="55852080" w:rsidR="007271AD" w:rsidRPr="004945E1" w:rsidRDefault="007271AD">
      <w:pPr>
        <w:rPr>
          <w:sz w:val="22"/>
          <w:lang w:val="es-VE"/>
        </w:rPr>
      </w:pPr>
    </w:p>
    <w:tbl>
      <w:tblPr>
        <w:tblStyle w:val="TableGrid"/>
        <w:tblW w:w="10791" w:type="dxa"/>
        <w:tblLook w:val="04A0" w:firstRow="1" w:lastRow="0" w:firstColumn="1" w:lastColumn="0" w:noHBand="0" w:noVBand="1"/>
      </w:tblPr>
      <w:tblGrid>
        <w:gridCol w:w="5813"/>
        <w:gridCol w:w="4978"/>
      </w:tblGrid>
      <w:tr w:rsidR="007271AD" w:rsidRPr="004945E1" w14:paraId="77A91C52" w14:textId="77777777">
        <w:tc>
          <w:tcPr>
            <w:tcW w:w="10791" w:type="dxa"/>
            <w:gridSpan w:val="2"/>
          </w:tcPr>
          <w:p w14:paraId="009CC41F" w14:textId="43F90CDA" w:rsidR="007271AD" w:rsidRPr="004945E1" w:rsidRDefault="00FB26D9">
            <w:pPr>
              <w:spacing w:after="160" w:line="256" w:lineRule="auto"/>
              <w:jc w:val="center"/>
              <w:rPr>
                <w:i/>
                <w:sz w:val="20"/>
                <w:lang w:val="es-VE"/>
              </w:rPr>
            </w:pPr>
            <w:r w:rsidRPr="004945E1">
              <w:rPr>
                <w:b/>
                <w:sz w:val="28"/>
                <w:u w:val="single"/>
                <w:lang w:val="es-VE"/>
              </w:rPr>
              <w:t>Sección 8: Notas e información adicionales para ayudar en la planificación del servicio</w:t>
            </w:r>
            <w:r w:rsidRPr="004945E1">
              <w:rPr>
                <w:i/>
                <w:sz w:val="20"/>
                <w:lang w:val="es-VE"/>
              </w:rPr>
              <w:t xml:space="preserve"> </w:t>
            </w:r>
          </w:p>
          <w:p w14:paraId="191C8F10" w14:textId="0C822DE3" w:rsidR="007271AD" w:rsidRPr="004945E1" w:rsidRDefault="00FB26D9">
            <w:pPr>
              <w:spacing w:after="160" w:line="256" w:lineRule="auto"/>
              <w:jc w:val="center"/>
              <w:rPr>
                <w:i/>
                <w:sz w:val="22"/>
                <w:lang w:val="es-VE"/>
              </w:rPr>
            </w:pPr>
            <w:r w:rsidRPr="004945E1">
              <w:rPr>
                <w:i/>
                <w:sz w:val="20"/>
                <w:lang w:val="es-VE"/>
              </w:rPr>
              <w:t xml:space="preserve">El propósito de esta sección es recopilar cualquier información adicional útil para ayudar en la planificación del servicio. </w:t>
            </w:r>
          </w:p>
        </w:tc>
      </w:tr>
      <w:tr w:rsidR="007271AD" w:rsidRPr="004945E1" w14:paraId="38174297" w14:textId="77777777">
        <w:tc>
          <w:tcPr>
            <w:tcW w:w="5813" w:type="dxa"/>
            <w:hideMark/>
          </w:tcPr>
          <w:p w14:paraId="2DB07462" w14:textId="2685F56C" w:rsidR="007271AD" w:rsidRPr="004945E1" w:rsidRDefault="00FB26D9">
            <w:pPr>
              <w:spacing w:after="160" w:line="256" w:lineRule="auto"/>
              <w:jc w:val="center"/>
              <w:rPr>
                <w:b/>
                <w:sz w:val="22"/>
                <w:lang w:val="es-VE"/>
              </w:rPr>
            </w:pPr>
            <w:r w:rsidRPr="004945E1">
              <w:rPr>
                <w:b/>
                <w:sz w:val="22"/>
                <w:lang w:val="es-VE"/>
              </w:rPr>
              <w:lastRenderedPageBreak/>
              <w:t>Aviso</w:t>
            </w:r>
          </w:p>
        </w:tc>
        <w:tc>
          <w:tcPr>
            <w:tcW w:w="4978" w:type="dxa"/>
            <w:hideMark/>
          </w:tcPr>
          <w:p w14:paraId="656D95C3" w14:textId="77777777" w:rsidR="007271AD" w:rsidRPr="004945E1" w:rsidRDefault="00FB26D9">
            <w:pPr>
              <w:spacing w:after="160" w:line="256" w:lineRule="auto"/>
              <w:jc w:val="center"/>
              <w:rPr>
                <w:b/>
                <w:sz w:val="22"/>
                <w:lang w:val="es-VE"/>
              </w:rPr>
            </w:pPr>
            <w:r w:rsidRPr="004945E1">
              <w:rPr>
                <w:b/>
                <w:sz w:val="22"/>
                <w:lang w:val="es-VE"/>
              </w:rPr>
              <w:t>Aclaración y ejemplos</w:t>
            </w:r>
          </w:p>
        </w:tc>
      </w:tr>
      <w:tr w:rsidR="007271AD" w:rsidRPr="004945E1" w14:paraId="5FBD8659" w14:textId="77777777">
        <w:trPr>
          <w:trHeight w:val="755"/>
        </w:trPr>
        <w:tc>
          <w:tcPr>
            <w:tcW w:w="5813" w:type="dxa"/>
          </w:tcPr>
          <w:p w14:paraId="6F627225" w14:textId="64C87EEF" w:rsidR="007271AD" w:rsidRPr="004945E1" w:rsidRDefault="00FB26D9">
            <w:pPr>
              <w:pStyle w:val="BodyText"/>
              <w:tabs>
                <w:tab w:val="left" w:pos="1048"/>
                <w:tab w:val="left" w:pos="6182"/>
                <w:tab w:val="left" w:pos="6718"/>
              </w:tabs>
              <w:spacing w:before="49"/>
              <w:rPr>
                <w:sz w:val="22"/>
                <w:lang w:val="es-VE"/>
              </w:rPr>
            </w:pPr>
            <w:r w:rsidRPr="004945E1">
              <w:rPr>
                <w:sz w:val="22"/>
                <w:lang w:val="es-VE"/>
              </w:rPr>
              <w:t xml:space="preserve">Otras consideraciones atenuantes o importantes de sus conversaciones de resolución de problemas. </w:t>
            </w:r>
          </w:p>
        </w:tc>
        <w:tc>
          <w:tcPr>
            <w:tcW w:w="4978" w:type="dxa"/>
          </w:tcPr>
          <w:p w14:paraId="2EC1E6BC" w14:textId="74B79427" w:rsidR="007271AD" w:rsidRPr="004945E1" w:rsidRDefault="00FB26D9">
            <w:pPr>
              <w:spacing w:after="160" w:line="256" w:lineRule="auto"/>
              <w:rPr>
                <w:i/>
                <w:sz w:val="22"/>
                <w:lang w:val="es-VE"/>
              </w:rPr>
            </w:pPr>
            <w:r w:rsidRPr="004945E1">
              <w:rPr>
                <w:i/>
                <w:sz w:val="22"/>
                <w:lang w:val="es-VE"/>
              </w:rPr>
              <w:t xml:space="preserve">Incluya cualquier nota relevante o importante que aún no se haya abordado en la sección de Resolución de Problemas de Vivienda. </w:t>
            </w:r>
          </w:p>
        </w:tc>
      </w:tr>
    </w:tbl>
    <w:p w14:paraId="509CA555" w14:textId="46D6DA57" w:rsidR="007271AD" w:rsidRPr="004945E1" w:rsidRDefault="007271AD">
      <w:pPr>
        <w:rPr>
          <w:sz w:val="22"/>
          <w:lang w:val="es-VE"/>
        </w:rPr>
        <w:sectPr w:rsidR="007271AD" w:rsidRPr="004945E1" w:rsidSect="00CF56A5">
          <w:headerReference w:type="default" r:id="rId22"/>
          <w:footerReference w:type="default" r:id="rId23"/>
          <w:headerReference w:type="first" r:id="rId24"/>
          <w:endnotePr>
            <w:numFmt w:val="decimal"/>
          </w:endnotePr>
          <w:pgSz w:w="12240" w:h="15840"/>
          <w:pgMar w:top="720" w:right="720" w:bottom="720" w:left="720" w:header="720" w:footer="720" w:gutter="0"/>
          <w:cols w:space="720"/>
          <w:titlePg/>
          <w:docGrid w:linePitch="360"/>
        </w:sectPr>
      </w:pPr>
    </w:p>
    <w:p w14:paraId="1DEFC4E0" w14:textId="5BC89B62" w:rsidR="007271AD" w:rsidRPr="004945E1" w:rsidRDefault="00FB26D9">
      <w:pPr>
        <w:pStyle w:val="Heading2"/>
        <w:rPr>
          <w:lang w:val="es-VE"/>
        </w:rPr>
      </w:pPr>
      <w:bookmarkStart w:id="3" w:name="_Toc78875909"/>
      <w:bookmarkStart w:id="4" w:name="_Toc78875923"/>
      <w:r w:rsidRPr="004945E1">
        <w:rPr>
          <w:lang w:val="es-VE"/>
        </w:rPr>
        <w:lastRenderedPageBreak/>
        <w:t>Apéndice A</w:t>
      </w:r>
      <w:r w:rsidR="00891803" w:rsidRPr="004945E1">
        <w:rPr>
          <w:lang w:val="es-VE"/>
        </w:rPr>
        <w:t>:</w:t>
      </w:r>
      <w:r w:rsidRPr="004945E1">
        <w:rPr>
          <w:lang w:val="es-VE"/>
        </w:rPr>
        <w:t xml:space="preserve"> Lista de proveedores de servicios para veteranos y servicio militar </w:t>
      </w:r>
    </w:p>
    <w:p w14:paraId="3F0925EB" w14:textId="77777777" w:rsidR="007271AD" w:rsidRPr="004945E1" w:rsidRDefault="007271AD">
      <w:pPr>
        <w:rPr>
          <w:lang w:val="es-VE"/>
        </w:rPr>
      </w:pPr>
    </w:p>
    <w:p w14:paraId="610D76B1" w14:textId="18ED1E58" w:rsidR="007271AD" w:rsidRPr="004945E1" w:rsidRDefault="00FB26D9">
      <w:pPr>
        <w:rPr>
          <w:lang w:val="es-VE"/>
        </w:rPr>
      </w:pPr>
      <w:r w:rsidRPr="004945E1">
        <w:rPr>
          <w:lang w:val="es-VE"/>
        </w:rPr>
        <w:t>La siguiente es una lista de proveedores de servicios para veteranos y servicio militar en la región de Three County. Para una remisión directa y eficiente, comuníquese con el punto de contacto (socio de CE) en cada agencia, en lugar de los números de línea principales que se mencionan a continuación. Para conocer el punto de contacto actual, comuníquese con CoC.</w:t>
      </w:r>
    </w:p>
    <w:p w14:paraId="5BB1C21A" w14:textId="77777777" w:rsidR="007271AD" w:rsidRPr="004945E1" w:rsidRDefault="007271AD">
      <w:pPr>
        <w:rPr>
          <w:lang w:val="es-VE"/>
        </w:rPr>
      </w:pPr>
    </w:p>
    <w:p w14:paraId="262AA628" w14:textId="5D7E9507" w:rsidR="007271AD" w:rsidRPr="004945E1" w:rsidRDefault="00FB26D9">
      <w:pPr>
        <w:pStyle w:val="ListParagraph"/>
        <w:numPr>
          <w:ilvl w:val="0"/>
          <w:numId w:val="37"/>
        </w:numPr>
        <w:rPr>
          <w:lang w:val="es-VE"/>
        </w:rPr>
      </w:pPr>
      <w:r w:rsidRPr="004945E1">
        <w:rPr>
          <w:lang w:val="es-VE"/>
        </w:rPr>
        <w:t xml:space="preserve">Servicios para veteranos de Central Hampshire: oficina de Amherst 413-259-3028; </w:t>
      </w:r>
      <w:r w:rsidR="00891803" w:rsidRPr="004945E1">
        <w:rPr>
          <w:lang w:val="es-VE"/>
        </w:rPr>
        <w:t>o</w:t>
      </w:r>
      <w:r w:rsidRPr="004945E1">
        <w:rPr>
          <w:lang w:val="es-VE"/>
        </w:rPr>
        <w:t>ficina de Northampton 413-587-1299</w:t>
      </w:r>
    </w:p>
    <w:p w14:paraId="07CC6A2F" w14:textId="2F88A62E" w:rsidR="007271AD" w:rsidRPr="004945E1" w:rsidRDefault="00FB26D9">
      <w:pPr>
        <w:pStyle w:val="ListParagraph"/>
        <w:numPr>
          <w:ilvl w:val="0"/>
          <w:numId w:val="37"/>
        </w:numPr>
        <w:rPr>
          <w:lang w:val="es-VE"/>
        </w:rPr>
      </w:pPr>
      <w:r w:rsidRPr="004945E1">
        <w:rPr>
          <w:lang w:val="es-VE"/>
        </w:rPr>
        <w:t>Soldado en: sitio de Leeds 413-582-3059; sitio de Pittsfield 413-236-5644</w:t>
      </w:r>
    </w:p>
    <w:p w14:paraId="2E23515C" w14:textId="3CA6201E" w:rsidR="007271AD" w:rsidRPr="004945E1" w:rsidRDefault="00FB26D9">
      <w:pPr>
        <w:pStyle w:val="ListParagraph"/>
        <w:numPr>
          <w:ilvl w:val="0"/>
          <w:numId w:val="37"/>
        </w:numPr>
        <w:rPr>
          <w:lang w:val="es-VE"/>
        </w:rPr>
      </w:pPr>
      <w:r w:rsidRPr="004945E1">
        <w:rPr>
          <w:lang w:val="es-VE"/>
        </w:rPr>
        <w:t>Centro Médico VA: 421 North Main Street, Leeds, MA 01053 413-584-4040</w:t>
      </w:r>
    </w:p>
    <w:p w14:paraId="31CDC54F" w14:textId="5C28146B" w:rsidR="007271AD" w:rsidRPr="004945E1" w:rsidRDefault="00FB26D9">
      <w:pPr>
        <w:pStyle w:val="Heading2"/>
        <w:rPr>
          <w:lang w:val="es-VE"/>
        </w:rPr>
      </w:pPr>
      <w:r w:rsidRPr="004945E1">
        <w:rPr>
          <w:lang w:val="es-VE"/>
        </w:rPr>
        <w:t>Apéndice B</w:t>
      </w:r>
      <w:r w:rsidR="00891803" w:rsidRPr="004945E1">
        <w:rPr>
          <w:lang w:val="es-VE"/>
        </w:rPr>
        <w:t>:</w:t>
      </w:r>
      <w:r w:rsidRPr="004945E1">
        <w:rPr>
          <w:lang w:val="es-VE"/>
        </w:rPr>
        <w:t xml:space="preserve"> Lista de recursos de prevención </w:t>
      </w:r>
    </w:p>
    <w:p w14:paraId="63CBBA06" w14:textId="70E3CDD4" w:rsidR="007271AD" w:rsidRPr="004945E1" w:rsidRDefault="00FB26D9">
      <w:pPr>
        <w:rPr>
          <w:lang w:val="es-VE"/>
        </w:rPr>
      </w:pPr>
      <w:r w:rsidRPr="004945E1">
        <w:rPr>
          <w:lang w:val="es-VE"/>
        </w:rPr>
        <w:t xml:space="preserve">Para individuos y familias en riesgo inminente de quedarse sin hogar, conéctelos con uno de los siguientes recursos de prevención. Comuníquese con CoC para conocer los puntos de contacto actuales. </w:t>
      </w:r>
    </w:p>
    <w:p w14:paraId="6E5C3201" w14:textId="6C4C2BBC" w:rsidR="007271AD" w:rsidRPr="004945E1" w:rsidRDefault="007271AD">
      <w:pPr>
        <w:rPr>
          <w:lang w:val="es-VE"/>
        </w:rPr>
      </w:pPr>
    </w:p>
    <w:p w14:paraId="4136C97A" w14:textId="7A21CA6C" w:rsidR="007271AD" w:rsidRPr="004945E1" w:rsidRDefault="00FB26D9">
      <w:pPr>
        <w:rPr>
          <w:b/>
          <w:lang w:val="es-VE"/>
        </w:rPr>
      </w:pPr>
      <w:r w:rsidRPr="004945E1">
        <w:rPr>
          <w:b/>
          <w:lang w:val="es-VE"/>
        </w:rPr>
        <w:t xml:space="preserve">Prevención ESG: </w:t>
      </w:r>
    </w:p>
    <w:p w14:paraId="7D5F93E8" w14:textId="2C8D999F" w:rsidR="007271AD" w:rsidRPr="004945E1" w:rsidRDefault="00FB26D9">
      <w:pPr>
        <w:pStyle w:val="ListParagraph"/>
        <w:numPr>
          <w:ilvl w:val="0"/>
          <w:numId w:val="39"/>
        </w:numPr>
        <w:rPr>
          <w:lang w:val="es-VE"/>
        </w:rPr>
      </w:pPr>
      <w:r w:rsidRPr="004945E1">
        <w:rPr>
          <w:lang w:val="es-VE"/>
        </w:rPr>
        <w:t>Community Action Pioneer Valley (Condado de Franklin y Hampshire)</w:t>
      </w:r>
    </w:p>
    <w:p w14:paraId="4F4B381C" w14:textId="4B59C3A6" w:rsidR="007271AD" w:rsidRPr="004945E1" w:rsidRDefault="00FB26D9">
      <w:pPr>
        <w:pStyle w:val="ListParagraph"/>
        <w:numPr>
          <w:ilvl w:val="1"/>
          <w:numId w:val="39"/>
        </w:numPr>
        <w:rPr>
          <w:lang w:val="es-VE"/>
        </w:rPr>
      </w:pPr>
      <w:r w:rsidRPr="004945E1">
        <w:rPr>
          <w:lang w:val="es-VE"/>
        </w:rPr>
        <w:t>Condado de Franklin, llame al 413-475-1570</w:t>
      </w:r>
    </w:p>
    <w:p w14:paraId="4DB39809" w14:textId="162FA3CC" w:rsidR="007271AD" w:rsidRPr="004945E1" w:rsidRDefault="00FB26D9">
      <w:pPr>
        <w:pStyle w:val="ListParagraph"/>
        <w:numPr>
          <w:ilvl w:val="1"/>
          <w:numId w:val="39"/>
        </w:numPr>
        <w:rPr>
          <w:lang w:val="es-VE"/>
        </w:rPr>
      </w:pPr>
      <w:r w:rsidRPr="004945E1">
        <w:rPr>
          <w:lang w:val="es-VE"/>
        </w:rPr>
        <w:t>Condado de Hampshire, llame al 413-582-4237</w:t>
      </w:r>
    </w:p>
    <w:p w14:paraId="3CAB8E92" w14:textId="025D69C7" w:rsidR="007271AD" w:rsidRPr="004945E1" w:rsidRDefault="00FB26D9">
      <w:pPr>
        <w:pStyle w:val="ListParagraph"/>
        <w:numPr>
          <w:ilvl w:val="1"/>
          <w:numId w:val="39"/>
        </w:numPr>
        <w:rPr>
          <w:lang w:val="es-VE"/>
        </w:rPr>
      </w:pPr>
      <w:r w:rsidRPr="004945E1">
        <w:rPr>
          <w:lang w:val="es-VE"/>
        </w:rPr>
        <w:t>Área de Ware/Belchertown, llame al 413-967-4920</w:t>
      </w:r>
    </w:p>
    <w:p w14:paraId="54AFBA21" w14:textId="5BE9FED8" w:rsidR="007271AD" w:rsidRPr="004945E1" w:rsidRDefault="00FB26D9">
      <w:pPr>
        <w:pStyle w:val="ListParagraph"/>
        <w:numPr>
          <w:ilvl w:val="1"/>
          <w:numId w:val="39"/>
        </w:numPr>
        <w:rPr>
          <w:lang w:val="es-VE"/>
        </w:rPr>
      </w:pPr>
      <w:r w:rsidRPr="004945E1">
        <w:rPr>
          <w:lang w:val="es-VE"/>
        </w:rPr>
        <w:t>Región de Orange, Athol, N. Quabbin, llame al 978-544-8091</w:t>
      </w:r>
    </w:p>
    <w:p w14:paraId="3AE29B15" w14:textId="37977F8B" w:rsidR="007271AD" w:rsidRPr="004945E1" w:rsidRDefault="00FB26D9">
      <w:pPr>
        <w:pStyle w:val="ListParagraph"/>
        <w:numPr>
          <w:ilvl w:val="0"/>
          <w:numId w:val="39"/>
        </w:numPr>
        <w:rPr>
          <w:lang w:val="es-VE"/>
        </w:rPr>
      </w:pPr>
      <w:r w:rsidRPr="004945E1">
        <w:rPr>
          <w:lang w:val="es-VE"/>
        </w:rPr>
        <w:t>Autoridad de Vivienda del Condado de Berkshire (Condado de Berkshire), llame al 413-443-7138</w:t>
      </w:r>
    </w:p>
    <w:p w14:paraId="3924A42C" w14:textId="3367B83B" w:rsidR="007271AD" w:rsidRPr="004945E1" w:rsidRDefault="007271AD">
      <w:pPr>
        <w:rPr>
          <w:lang w:val="es-VE"/>
        </w:rPr>
      </w:pPr>
    </w:p>
    <w:p w14:paraId="79FB3D5E" w14:textId="76376477" w:rsidR="007271AD" w:rsidRPr="004945E1" w:rsidRDefault="00FB26D9">
      <w:pPr>
        <w:rPr>
          <w:b/>
          <w:lang w:val="es-VE"/>
        </w:rPr>
      </w:pPr>
      <w:r w:rsidRPr="004945E1">
        <w:rPr>
          <w:b/>
          <w:lang w:val="es-VE"/>
        </w:rPr>
        <w:t xml:space="preserve">Prevención de Asistencia Residencial para Familias en Transición (RAFT, por sus siglas en inglés): </w:t>
      </w:r>
    </w:p>
    <w:p w14:paraId="210836F7" w14:textId="28F47794" w:rsidR="007271AD" w:rsidRPr="004945E1" w:rsidRDefault="007271AD">
      <w:pPr>
        <w:rPr>
          <w:b/>
          <w:lang w:val="es-VE"/>
        </w:rPr>
      </w:pPr>
    </w:p>
    <w:p w14:paraId="459C3E2F" w14:textId="25D9929F" w:rsidR="007271AD" w:rsidRPr="004945E1" w:rsidRDefault="00FB26D9">
      <w:pPr>
        <w:rPr>
          <w:lang w:val="es-VE"/>
        </w:rPr>
      </w:pPr>
      <w:r w:rsidRPr="004945E1">
        <w:rPr>
          <w:lang w:val="es-VE"/>
        </w:rPr>
        <w:t xml:space="preserve">Haga clic </w:t>
      </w:r>
      <w:hyperlink r:id="rId25" w:history="1">
        <w:r w:rsidRPr="004945E1">
          <w:rPr>
            <w:rStyle w:val="Hyperlink"/>
            <w:lang w:val="es-VE"/>
          </w:rPr>
          <w:t>aquí</w:t>
        </w:r>
      </w:hyperlink>
      <w:r w:rsidRPr="004945E1">
        <w:rPr>
          <w:lang w:val="es-VE"/>
        </w:rPr>
        <w:t xml:space="preserve"> para ayudar a alguien a presentar una solicitud a través de la Solicitud Central en línea o comuníquese con una de las Agencias de Administración Regional (RAA, por sus siglas en inglés) de los tres condados:</w:t>
      </w:r>
    </w:p>
    <w:p w14:paraId="26DA9642" w14:textId="03E2C4DB" w:rsidR="007271AD" w:rsidRPr="004945E1" w:rsidRDefault="00FB26D9">
      <w:pPr>
        <w:pStyle w:val="ListParagraph"/>
        <w:numPr>
          <w:ilvl w:val="0"/>
          <w:numId w:val="40"/>
        </w:numPr>
        <w:rPr>
          <w:lang w:val="es-VE"/>
        </w:rPr>
      </w:pPr>
      <w:r w:rsidRPr="004945E1">
        <w:rPr>
          <w:lang w:val="es-VE"/>
        </w:rPr>
        <w:t>Condado de Franklin</w:t>
      </w:r>
      <w:r w:rsidR="007A6782" w:rsidRPr="004945E1">
        <w:rPr>
          <w:lang w:val="es-VE"/>
        </w:rPr>
        <w:t>:</w:t>
      </w:r>
      <w:r w:rsidRPr="004945E1">
        <w:rPr>
          <w:lang w:val="es-VE"/>
        </w:rPr>
        <w:t xml:space="preserve"> Autoridad Regional de Vivienda y Reurbanización del Condado de Franklin: 241 Millers Falls Road Turners Falls, MA 01376, llame al 413-863-9781</w:t>
      </w:r>
    </w:p>
    <w:p w14:paraId="1D6E20DE" w14:textId="0135D722" w:rsidR="007271AD" w:rsidRPr="004945E1" w:rsidRDefault="00FB26D9">
      <w:pPr>
        <w:pStyle w:val="ListParagraph"/>
        <w:numPr>
          <w:ilvl w:val="0"/>
          <w:numId w:val="40"/>
        </w:numPr>
        <w:rPr>
          <w:lang w:val="es-VE"/>
        </w:rPr>
      </w:pPr>
      <w:r w:rsidRPr="004945E1">
        <w:rPr>
          <w:lang w:val="es-VE"/>
        </w:rPr>
        <w:t>Condado de Berkshire</w:t>
      </w:r>
      <w:r w:rsidR="007A6782" w:rsidRPr="004945E1">
        <w:rPr>
          <w:lang w:val="es-VE"/>
        </w:rPr>
        <w:t>:</w:t>
      </w:r>
      <w:r w:rsidRPr="004945E1">
        <w:rPr>
          <w:lang w:val="es-VE"/>
        </w:rPr>
        <w:t xml:space="preserve"> Corporación de Desarrollo de Vivienda de Berkshire: 1 Fenn St. 3</w:t>
      </w:r>
      <w:r w:rsidRPr="004945E1">
        <w:rPr>
          <w:vertAlign w:val="superscript"/>
          <w:lang w:val="es-VE"/>
        </w:rPr>
        <w:t>rd</w:t>
      </w:r>
      <w:r w:rsidRPr="004945E1">
        <w:rPr>
          <w:lang w:val="es-VE"/>
        </w:rPr>
        <w:t xml:space="preserve"> floor, Pittsfield, MA 01201</w:t>
      </w:r>
    </w:p>
    <w:p w14:paraId="2D13702C" w14:textId="5407B83C" w:rsidR="007271AD" w:rsidRPr="004945E1" w:rsidRDefault="00FB26D9">
      <w:pPr>
        <w:pStyle w:val="ListParagraph"/>
        <w:numPr>
          <w:ilvl w:val="0"/>
          <w:numId w:val="40"/>
        </w:numPr>
        <w:rPr>
          <w:lang w:val="es-VE"/>
        </w:rPr>
      </w:pPr>
      <w:r w:rsidRPr="004945E1">
        <w:rPr>
          <w:lang w:val="es-VE"/>
        </w:rPr>
        <w:t>Condado de Hampshire</w:t>
      </w:r>
      <w:r w:rsidR="007A6782" w:rsidRPr="004945E1">
        <w:rPr>
          <w:lang w:val="es-VE"/>
        </w:rPr>
        <w:t>:</w:t>
      </w:r>
      <w:r w:rsidRPr="004945E1">
        <w:rPr>
          <w:lang w:val="es-VE"/>
        </w:rPr>
        <w:t xml:space="preserve"> Way Finders: 1780 Main Street Springfield, MA 01103</w:t>
      </w:r>
    </w:p>
    <w:p w14:paraId="085A4F76" w14:textId="5035C093" w:rsidR="007271AD" w:rsidRPr="004945E1" w:rsidRDefault="00FB26D9">
      <w:pPr>
        <w:pStyle w:val="Heading2"/>
        <w:rPr>
          <w:lang w:val="es-VE"/>
        </w:rPr>
      </w:pPr>
      <w:r w:rsidRPr="004945E1">
        <w:rPr>
          <w:lang w:val="es-VE"/>
        </w:rPr>
        <w:t>Apéndice C</w:t>
      </w:r>
      <w:r w:rsidR="00C71002" w:rsidRPr="004945E1">
        <w:rPr>
          <w:lang w:val="es-VE"/>
        </w:rPr>
        <w:t>:</w:t>
      </w:r>
      <w:r w:rsidRPr="004945E1">
        <w:rPr>
          <w:lang w:val="es-VE"/>
        </w:rPr>
        <w:t xml:space="preserve"> Lista de organizaciones/agencias evaluadoras de CE </w:t>
      </w:r>
    </w:p>
    <w:tbl>
      <w:tblPr>
        <w:tblStyle w:val="TableGrid"/>
        <w:tblW w:w="0" w:type="auto"/>
        <w:tblLook w:val="04A0" w:firstRow="1" w:lastRow="0" w:firstColumn="1" w:lastColumn="0" w:noHBand="0" w:noVBand="1"/>
      </w:tblPr>
      <w:tblGrid>
        <w:gridCol w:w="5395"/>
        <w:gridCol w:w="5395"/>
      </w:tblGrid>
      <w:tr w:rsidR="007271AD" w:rsidRPr="004945E1" w14:paraId="08582555" w14:textId="77777777">
        <w:tc>
          <w:tcPr>
            <w:tcW w:w="5395" w:type="dxa"/>
          </w:tcPr>
          <w:p w14:paraId="585B6421" w14:textId="21913BD1" w:rsidR="007271AD" w:rsidRPr="004945E1" w:rsidRDefault="00C71002">
            <w:pPr>
              <w:rPr>
                <w:lang w:val="es-VE"/>
              </w:rPr>
            </w:pPr>
            <w:r w:rsidRPr="004945E1">
              <w:rPr>
                <w:lang w:val="es-VE"/>
              </w:rPr>
              <w:t>A Positive Place,</w:t>
            </w:r>
            <w:r w:rsidR="00FB26D9" w:rsidRPr="004945E1">
              <w:rPr>
                <w:lang w:val="es-VE"/>
              </w:rPr>
              <w:t xml:space="preserve"> Hospital Cooley Dickinson </w:t>
            </w:r>
          </w:p>
        </w:tc>
        <w:tc>
          <w:tcPr>
            <w:tcW w:w="5395" w:type="dxa"/>
          </w:tcPr>
          <w:p w14:paraId="451D1915" w14:textId="25949172" w:rsidR="007271AD" w:rsidRPr="004945E1" w:rsidRDefault="00FB26D9">
            <w:pPr>
              <w:rPr>
                <w:lang w:val="es-VE"/>
              </w:rPr>
            </w:pPr>
            <w:r w:rsidRPr="004945E1">
              <w:rPr>
                <w:lang w:val="es-VE"/>
              </w:rPr>
              <w:t>Centro Elizabeth Freeman</w:t>
            </w:r>
          </w:p>
        </w:tc>
      </w:tr>
      <w:tr w:rsidR="007271AD" w:rsidRPr="004945E1" w14:paraId="34DDDF91" w14:textId="77777777">
        <w:tc>
          <w:tcPr>
            <w:tcW w:w="5395" w:type="dxa"/>
          </w:tcPr>
          <w:p w14:paraId="389CD42B" w14:textId="308897A5" w:rsidR="007271AD" w:rsidRPr="004945E1" w:rsidRDefault="00FB26D9">
            <w:pPr>
              <w:rPr>
                <w:lang w:val="es-VE"/>
              </w:rPr>
            </w:pPr>
            <w:r w:rsidRPr="004945E1">
              <w:rPr>
                <w:lang w:val="es-VE"/>
              </w:rPr>
              <w:t>Autoridad Regional de Vivienda del Condado de Berkshire</w:t>
            </w:r>
          </w:p>
        </w:tc>
        <w:tc>
          <w:tcPr>
            <w:tcW w:w="5395" w:type="dxa"/>
          </w:tcPr>
          <w:p w14:paraId="7384487D" w14:textId="6ECAA1D2" w:rsidR="007271AD" w:rsidRPr="004945E1" w:rsidRDefault="00FB26D9">
            <w:pPr>
              <w:rPr>
                <w:lang w:val="es-VE"/>
              </w:rPr>
            </w:pPr>
            <w:r w:rsidRPr="004945E1">
              <w:rPr>
                <w:lang w:val="es-VE"/>
              </w:rPr>
              <w:t>Centro Gándara</w:t>
            </w:r>
          </w:p>
        </w:tc>
      </w:tr>
      <w:tr w:rsidR="007271AD" w:rsidRPr="004945E1" w14:paraId="6AE9D49B" w14:textId="77777777">
        <w:tc>
          <w:tcPr>
            <w:tcW w:w="5395" w:type="dxa"/>
          </w:tcPr>
          <w:p w14:paraId="3ED696C4" w14:textId="14273C37" w:rsidR="007271AD" w:rsidRPr="004945E1" w:rsidRDefault="00FB26D9">
            <w:pPr>
              <w:rPr>
                <w:lang w:val="es-VE"/>
              </w:rPr>
            </w:pPr>
            <w:r w:rsidRPr="004945E1">
              <w:rPr>
                <w:lang w:val="es-VE"/>
              </w:rPr>
              <w:t>The Brien Center</w:t>
            </w:r>
          </w:p>
        </w:tc>
        <w:tc>
          <w:tcPr>
            <w:tcW w:w="5395" w:type="dxa"/>
          </w:tcPr>
          <w:p w14:paraId="4962B5EB" w14:textId="50F7E449" w:rsidR="007271AD" w:rsidRPr="004945E1" w:rsidRDefault="00FB26D9">
            <w:pPr>
              <w:rPr>
                <w:lang w:val="es-VE"/>
              </w:rPr>
            </w:pPr>
            <w:r w:rsidRPr="004945E1">
              <w:rPr>
                <w:lang w:val="es-VE"/>
              </w:rPr>
              <w:t>Greenfield Family Inn</w:t>
            </w:r>
          </w:p>
        </w:tc>
      </w:tr>
      <w:tr w:rsidR="007271AD" w:rsidRPr="004945E1" w14:paraId="4D0A4CE2" w14:textId="77777777">
        <w:tc>
          <w:tcPr>
            <w:tcW w:w="5395" w:type="dxa"/>
          </w:tcPr>
          <w:p w14:paraId="278E2F27" w14:textId="2B823F6F" w:rsidR="007271AD" w:rsidRPr="004945E1" w:rsidRDefault="00FB26D9">
            <w:pPr>
              <w:rPr>
                <w:lang w:val="es-VE"/>
              </w:rPr>
            </w:pPr>
            <w:r w:rsidRPr="004945E1">
              <w:rPr>
                <w:lang w:val="es-VE"/>
              </w:rPr>
              <w:t>Community Action Pioneer Valley</w:t>
            </w:r>
          </w:p>
        </w:tc>
        <w:tc>
          <w:tcPr>
            <w:tcW w:w="5395" w:type="dxa"/>
          </w:tcPr>
          <w:p w14:paraId="14B3B3ED" w14:textId="5196B36B" w:rsidR="007271AD" w:rsidRPr="004945E1" w:rsidRDefault="00FB26D9">
            <w:pPr>
              <w:rPr>
                <w:lang w:val="es-VE"/>
              </w:rPr>
            </w:pPr>
            <w:r w:rsidRPr="004945E1">
              <w:rPr>
                <w:lang w:val="es-VE"/>
              </w:rPr>
              <w:t>Servicios de Salud para Personas sin Hogar</w:t>
            </w:r>
            <w:r w:rsidR="00C71002" w:rsidRPr="004945E1">
              <w:rPr>
                <w:lang w:val="es-VE"/>
              </w:rPr>
              <w:t>,</w:t>
            </w:r>
            <w:r w:rsidRPr="004945E1">
              <w:rPr>
                <w:lang w:val="es-VE"/>
              </w:rPr>
              <w:t xml:space="preserve"> Western Mass</w:t>
            </w:r>
          </w:p>
        </w:tc>
      </w:tr>
      <w:tr w:rsidR="007271AD" w:rsidRPr="004945E1" w14:paraId="65D16C2E" w14:textId="77777777">
        <w:tc>
          <w:tcPr>
            <w:tcW w:w="5395" w:type="dxa"/>
          </w:tcPr>
          <w:p w14:paraId="0D3D7386" w14:textId="1D0560A0" w:rsidR="007271AD" w:rsidRPr="004945E1" w:rsidRDefault="00FB26D9">
            <w:pPr>
              <w:rPr>
                <w:lang w:val="es-VE"/>
              </w:rPr>
            </w:pPr>
            <w:r w:rsidRPr="004945E1">
              <w:rPr>
                <w:lang w:val="es-VE"/>
              </w:rPr>
              <w:t xml:space="preserve">Servicios de Veteranos de Central Hampshire </w:t>
            </w:r>
          </w:p>
        </w:tc>
        <w:tc>
          <w:tcPr>
            <w:tcW w:w="5395" w:type="dxa"/>
          </w:tcPr>
          <w:p w14:paraId="09859C7F" w14:textId="7BFE4E30" w:rsidR="007271AD" w:rsidRPr="004945E1" w:rsidRDefault="00FB26D9">
            <w:pPr>
              <w:rPr>
                <w:lang w:val="es-VE"/>
              </w:rPr>
            </w:pPr>
            <w:r w:rsidRPr="004945E1">
              <w:rPr>
                <w:lang w:val="es-VE"/>
              </w:rPr>
              <w:t>Louison House</w:t>
            </w:r>
          </w:p>
        </w:tc>
      </w:tr>
      <w:tr w:rsidR="007271AD" w:rsidRPr="004945E1" w14:paraId="5818B32C" w14:textId="77777777">
        <w:tc>
          <w:tcPr>
            <w:tcW w:w="5395" w:type="dxa"/>
          </w:tcPr>
          <w:p w14:paraId="738FFB78" w14:textId="0F3A7D9F" w:rsidR="007271AD" w:rsidRPr="004945E1" w:rsidRDefault="00FB26D9">
            <w:pPr>
              <w:rPr>
                <w:lang w:val="es-VE"/>
              </w:rPr>
            </w:pPr>
            <w:r w:rsidRPr="004945E1">
              <w:rPr>
                <w:lang w:val="es-VE"/>
              </w:rPr>
              <w:t>Centro para el Desarrollo Humano (CHD, por sus siglas en inglés)</w:t>
            </w:r>
          </w:p>
        </w:tc>
        <w:tc>
          <w:tcPr>
            <w:tcW w:w="5395" w:type="dxa"/>
          </w:tcPr>
          <w:p w14:paraId="75AF107E" w14:textId="27C7EFDB" w:rsidR="007271AD" w:rsidRPr="004945E1" w:rsidRDefault="00FB26D9">
            <w:pPr>
              <w:rPr>
                <w:lang w:val="es-VE"/>
              </w:rPr>
            </w:pPr>
            <w:r w:rsidRPr="004945E1">
              <w:rPr>
                <w:lang w:val="es-VE"/>
              </w:rPr>
              <w:t>Asociados de Salud Mental (MHA, por sus siglas en inglés)</w:t>
            </w:r>
          </w:p>
        </w:tc>
      </w:tr>
      <w:tr w:rsidR="007271AD" w:rsidRPr="004945E1" w14:paraId="6683F38A" w14:textId="77777777">
        <w:tc>
          <w:tcPr>
            <w:tcW w:w="5395" w:type="dxa"/>
          </w:tcPr>
          <w:p w14:paraId="5EC014F2" w14:textId="73AF2F5B" w:rsidR="007271AD" w:rsidRPr="004945E1" w:rsidRDefault="00FB26D9">
            <w:pPr>
              <w:rPr>
                <w:lang w:val="es-VE"/>
              </w:rPr>
            </w:pPr>
            <w:r w:rsidRPr="004945E1">
              <w:rPr>
                <w:lang w:val="es-VE"/>
              </w:rPr>
              <w:lastRenderedPageBreak/>
              <w:t xml:space="preserve">Construct, Inc. </w:t>
            </w:r>
          </w:p>
        </w:tc>
        <w:tc>
          <w:tcPr>
            <w:tcW w:w="5395" w:type="dxa"/>
          </w:tcPr>
          <w:p w14:paraId="09F065F4" w14:textId="15431D1E" w:rsidR="007271AD" w:rsidRPr="004945E1" w:rsidRDefault="00FB26D9">
            <w:pPr>
              <w:rPr>
                <w:lang w:val="es-VE"/>
              </w:rPr>
            </w:pPr>
            <w:r w:rsidRPr="004945E1">
              <w:rPr>
                <w:lang w:val="es-VE"/>
              </w:rPr>
              <w:t>NELCWIT</w:t>
            </w:r>
          </w:p>
        </w:tc>
      </w:tr>
      <w:tr w:rsidR="007271AD" w:rsidRPr="004945E1" w14:paraId="571D5770" w14:textId="77777777">
        <w:tc>
          <w:tcPr>
            <w:tcW w:w="5395" w:type="dxa"/>
          </w:tcPr>
          <w:p w14:paraId="5AB4F8E5" w14:textId="4A3EF930" w:rsidR="007271AD" w:rsidRPr="004945E1" w:rsidRDefault="00FB26D9">
            <w:pPr>
              <w:rPr>
                <w:lang w:val="es-VE"/>
              </w:rPr>
            </w:pPr>
            <w:r w:rsidRPr="004945E1">
              <w:rPr>
                <w:lang w:val="es-VE"/>
              </w:rPr>
              <w:t>Craigs Doors</w:t>
            </w:r>
          </w:p>
        </w:tc>
        <w:tc>
          <w:tcPr>
            <w:tcW w:w="5395" w:type="dxa"/>
          </w:tcPr>
          <w:p w14:paraId="6BBD456D" w14:textId="014C0AAD" w:rsidR="007271AD" w:rsidRPr="004945E1" w:rsidRDefault="00FB26D9">
            <w:pPr>
              <w:rPr>
                <w:lang w:val="es-VE"/>
              </w:rPr>
            </w:pPr>
            <w:r w:rsidRPr="004945E1">
              <w:rPr>
                <w:lang w:val="es-VE"/>
              </w:rPr>
              <w:t>Safe Passage</w:t>
            </w:r>
          </w:p>
        </w:tc>
      </w:tr>
      <w:tr w:rsidR="007271AD" w:rsidRPr="004945E1" w14:paraId="02FAFE99" w14:textId="77777777">
        <w:tc>
          <w:tcPr>
            <w:tcW w:w="5395" w:type="dxa"/>
          </w:tcPr>
          <w:p w14:paraId="1530C293" w14:textId="1DCB84F7" w:rsidR="007271AD" w:rsidRPr="004945E1" w:rsidRDefault="00FB26D9">
            <w:pPr>
              <w:rPr>
                <w:lang w:val="es-VE"/>
              </w:rPr>
            </w:pPr>
            <w:r w:rsidRPr="004945E1">
              <w:rPr>
                <w:lang w:val="es-VE"/>
              </w:rPr>
              <w:t>Clinical &amp; Support Options, Inc. (CSO)</w:t>
            </w:r>
          </w:p>
        </w:tc>
        <w:tc>
          <w:tcPr>
            <w:tcW w:w="5395" w:type="dxa"/>
          </w:tcPr>
          <w:p w14:paraId="0AA55001" w14:textId="5D4241B9" w:rsidR="007271AD" w:rsidRPr="004945E1" w:rsidRDefault="00FB26D9">
            <w:pPr>
              <w:rPr>
                <w:lang w:val="es-VE"/>
              </w:rPr>
            </w:pPr>
            <w:r w:rsidRPr="004945E1">
              <w:rPr>
                <w:lang w:val="es-VE"/>
              </w:rPr>
              <w:t>ServiceNet, Inc.</w:t>
            </w:r>
          </w:p>
        </w:tc>
      </w:tr>
      <w:tr w:rsidR="007271AD" w:rsidRPr="004945E1" w14:paraId="0B15EF14" w14:textId="77777777">
        <w:tc>
          <w:tcPr>
            <w:tcW w:w="5395" w:type="dxa"/>
          </w:tcPr>
          <w:p w14:paraId="259B6A10" w14:textId="59038564" w:rsidR="007271AD" w:rsidRPr="004945E1" w:rsidRDefault="00FB26D9">
            <w:pPr>
              <w:tabs>
                <w:tab w:val="left" w:pos="1515"/>
              </w:tabs>
              <w:rPr>
                <w:lang w:val="es-VE"/>
              </w:rPr>
            </w:pPr>
            <w:r w:rsidRPr="004945E1">
              <w:rPr>
                <w:lang w:val="es-VE"/>
              </w:rPr>
              <w:t xml:space="preserve">Servicios Comunitarios y Juveniles DIAL/SELF </w:t>
            </w:r>
          </w:p>
        </w:tc>
        <w:tc>
          <w:tcPr>
            <w:tcW w:w="5395" w:type="dxa"/>
          </w:tcPr>
          <w:p w14:paraId="5640B2BD" w14:textId="51E03CDC" w:rsidR="007271AD" w:rsidRPr="004945E1" w:rsidRDefault="00FB26D9">
            <w:pPr>
              <w:rPr>
                <w:lang w:val="es-VE"/>
              </w:rPr>
            </w:pPr>
            <w:r w:rsidRPr="004945E1">
              <w:rPr>
                <w:lang w:val="es-VE"/>
              </w:rPr>
              <w:t>Soldier On</w:t>
            </w:r>
          </w:p>
        </w:tc>
      </w:tr>
      <w:tr w:rsidR="007271AD" w:rsidRPr="004945E1" w14:paraId="63693B59" w14:textId="77777777">
        <w:tc>
          <w:tcPr>
            <w:tcW w:w="5395" w:type="dxa"/>
          </w:tcPr>
          <w:p w14:paraId="5C637D66" w14:textId="5A0B85EF" w:rsidR="007271AD" w:rsidRPr="004945E1" w:rsidRDefault="00FB26D9">
            <w:pPr>
              <w:rPr>
                <w:lang w:val="es-VE"/>
              </w:rPr>
            </w:pPr>
            <w:r w:rsidRPr="004945E1">
              <w:rPr>
                <w:lang w:val="es-VE"/>
              </w:rPr>
              <w:t>Eliot Community Human Services</w:t>
            </w:r>
          </w:p>
        </w:tc>
        <w:tc>
          <w:tcPr>
            <w:tcW w:w="5395" w:type="dxa"/>
          </w:tcPr>
          <w:p w14:paraId="6FCE964F" w14:textId="6207A9CF" w:rsidR="007271AD" w:rsidRPr="004945E1" w:rsidRDefault="00FB26D9">
            <w:pPr>
              <w:rPr>
                <w:lang w:val="es-VE"/>
              </w:rPr>
            </w:pPr>
            <w:r w:rsidRPr="004945E1">
              <w:rPr>
                <w:lang w:val="es-VE"/>
              </w:rPr>
              <w:t>VA – Leeds</w:t>
            </w:r>
          </w:p>
        </w:tc>
      </w:tr>
    </w:tbl>
    <w:p w14:paraId="7134012F" w14:textId="278210E2" w:rsidR="007271AD" w:rsidRPr="004945E1" w:rsidRDefault="00FB26D9">
      <w:pPr>
        <w:pStyle w:val="Heading2"/>
        <w:rPr>
          <w:lang w:val="es-VE"/>
        </w:rPr>
      </w:pPr>
      <w:r w:rsidRPr="004945E1">
        <w:rPr>
          <w:lang w:val="es-VE"/>
        </w:rPr>
        <w:t>Apéndice D</w:t>
      </w:r>
      <w:r w:rsidR="00867552" w:rsidRPr="004945E1">
        <w:rPr>
          <w:lang w:val="es-VE"/>
        </w:rPr>
        <w:t>:</w:t>
      </w:r>
      <w:r w:rsidRPr="004945E1">
        <w:rPr>
          <w:lang w:val="es-VE"/>
        </w:rPr>
        <w:t xml:space="preserve"> Términos clave y glosario</w:t>
      </w:r>
      <w:bookmarkEnd w:id="3"/>
      <w:bookmarkEnd w:id="4"/>
    </w:p>
    <w:p w14:paraId="6A1B6493" w14:textId="25DBD692" w:rsidR="007271AD" w:rsidRPr="004945E1" w:rsidRDefault="007271AD">
      <w:pPr>
        <w:pStyle w:val="NoSpacing"/>
        <w:rPr>
          <w:lang w:val="es-VE"/>
        </w:rPr>
      </w:pPr>
    </w:p>
    <w:p w14:paraId="37EE595C" w14:textId="60E6AC66" w:rsidR="007271AD" w:rsidRPr="004945E1" w:rsidRDefault="00FB26D9">
      <w:pPr>
        <w:pStyle w:val="NoSpacing"/>
        <w:numPr>
          <w:ilvl w:val="0"/>
          <w:numId w:val="9"/>
        </w:numPr>
        <w:ind w:left="360"/>
        <w:rPr>
          <w:lang w:val="es-VE"/>
        </w:rPr>
      </w:pPr>
      <w:r w:rsidRPr="004945E1">
        <w:rPr>
          <w:b/>
          <w:lang w:val="es-VE"/>
        </w:rPr>
        <w:t xml:space="preserve">Priorización: </w:t>
      </w:r>
      <w:r w:rsidR="00867552" w:rsidRPr="004945E1">
        <w:rPr>
          <w:lang w:val="es-VE"/>
        </w:rPr>
        <w:t>e</w:t>
      </w:r>
      <w:r w:rsidRPr="004945E1">
        <w:rPr>
          <w:lang w:val="es-VE"/>
        </w:rPr>
        <w:t>l uso de datos y otros factores para priorizar individuos y familias para vivienda y otros recursos en base a la urgencia, vulnerabilidad, equidad, disponibilidad de recursos y capacidad.</w:t>
      </w:r>
    </w:p>
    <w:p w14:paraId="4DE6DEDC" w14:textId="77777777" w:rsidR="007271AD" w:rsidRPr="004945E1" w:rsidRDefault="007271AD">
      <w:pPr>
        <w:pStyle w:val="NoSpacing"/>
        <w:ind w:left="360"/>
        <w:rPr>
          <w:lang w:val="es-VE"/>
        </w:rPr>
      </w:pPr>
    </w:p>
    <w:p w14:paraId="2D007FDB" w14:textId="4D8D62A5" w:rsidR="007271AD" w:rsidRPr="004945E1" w:rsidRDefault="00FB26D9">
      <w:pPr>
        <w:pStyle w:val="NoSpacing"/>
        <w:numPr>
          <w:ilvl w:val="0"/>
          <w:numId w:val="9"/>
        </w:numPr>
        <w:ind w:left="360"/>
        <w:rPr>
          <w:lang w:val="es-VE"/>
        </w:rPr>
      </w:pPr>
      <w:r w:rsidRPr="004945E1">
        <w:rPr>
          <w:b/>
          <w:lang w:val="es-VE"/>
        </w:rPr>
        <w:t>Solución de problemas de vivienda:</w:t>
      </w:r>
      <w:r w:rsidRPr="004945E1">
        <w:rPr>
          <w:lang w:val="es-VE"/>
        </w:rPr>
        <w:t xml:space="preserve"> </w:t>
      </w:r>
      <w:r w:rsidR="00E07761" w:rsidRPr="004945E1">
        <w:rPr>
          <w:lang w:val="es-VE"/>
        </w:rPr>
        <w:t>e</w:t>
      </w:r>
      <w:r w:rsidRPr="004945E1">
        <w:rPr>
          <w:lang w:val="es-VE"/>
        </w:rPr>
        <w:t>strategias y servicios que ayudan a los grupos familiares a usar sus fortalezas, redes de apoyo y recursos comunitarios para encontrar una vivienda segura, decente y apropiada lo antes posible fuera del sistema de respuesta a crisis para personas sin hogar, aunque sea temporalmente. Estas estrategias deben usarse con todos los que interactúan con el sistema de servicios para personas sin hogar, a menudo más de una vez y a medida que cambian las condiciones. La Resolución de Problemas de Vivienda es un conjunto básico de estrategias y características que deben emplearse en todo el sistema de respuesta a crisis de personas sin hogar.</w:t>
      </w:r>
    </w:p>
    <w:p w14:paraId="0735B78C" w14:textId="77777777" w:rsidR="007271AD" w:rsidRPr="004945E1" w:rsidRDefault="007271AD">
      <w:pPr>
        <w:pStyle w:val="NoSpacing"/>
        <w:ind w:left="360"/>
        <w:rPr>
          <w:lang w:val="es-VE"/>
        </w:rPr>
      </w:pPr>
    </w:p>
    <w:p w14:paraId="32CF382C" w14:textId="71972573" w:rsidR="007271AD" w:rsidRPr="004945E1" w:rsidRDefault="00FB26D9">
      <w:pPr>
        <w:pStyle w:val="NoSpacing"/>
        <w:numPr>
          <w:ilvl w:val="0"/>
          <w:numId w:val="9"/>
        </w:numPr>
        <w:ind w:left="360"/>
        <w:rPr>
          <w:lang w:val="es-VE"/>
        </w:rPr>
      </w:pPr>
      <w:r w:rsidRPr="004945E1">
        <w:rPr>
          <w:b/>
          <w:lang w:val="es-VE"/>
        </w:rPr>
        <w:t>Desviación:</w:t>
      </w:r>
      <w:r w:rsidRPr="004945E1">
        <w:rPr>
          <w:lang w:val="es-VE"/>
        </w:rPr>
        <w:t xml:space="preserve"> </w:t>
      </w:r>
      <w:r w:rsidR="00E07761" w:rsidRPr="004945E1">
        <w:rPr>
          <w:lang w:val="es-VE"/>
        </w:rPr>
        <w:t>l</w:t>
      </w:r>
      <w:r w:rsidRPr="004945E1">
        <w:rPr>
          <w:lang w:val="es-VE"/>
        </w:rPr>
        <w:t>as estrategias y prácticas de desviación buscan ayudar a las personas a resolver su crisis de vivienda inmediata accediendo a una alternativa de vivienda segura y adecuada, en lugar de ingresar a un refugio de emergencia o permanecer en un lugar que no está destinado a ser habitado por humanos esa noche. Esto generalmente ocurre en el momento en que las personas solicitan servicios de emergencia, como la entrada a un refugio de emergencia, o podría tener lugar en un centro de día o mediante el servicio social antes de que una persona pase la noche sin refugio. Un grupo familiar se "desvía" si se presenta para asistencia de vivienda de emergencia y, en cambio, recibe apoyo y puede identificar una alternativa segura y apropiada a la falta literal de vivienda.</w:t>
      </w:r>
    </w:p>
    <w:p w14:paraId="52AAC04F" w14:textId="77777777" w:rsidR="007271AD" w:rsidRPr="004945E1" w:rsidRDefault="007271AD">
      <w:pPr>
        <w:pStyle w:val="NoSpacing"/>
        <w:ind w:left="360"/>
        <w:rPr>
          <w:lang w:val="es-VE"/>
        </w:rPr>
      </w:pPr>
    </w:p>
    <w:p w14:paraId="7BA065BF" w14:textId="53ECBF58" w:rsidR="007271AD" w:rsidRPr="004945E1" w:rsidRDefault="00FB26D9">
      <w:pPr>
        <w:pStyle w:val="NoSpacing"/>
        <w:numPr>
          <w:ilvl w:val="0"/>
          <w:numId w:val="9"/>
        </w:numPr>
        <w:ind w:left="360"/>
        <w:rPr>
          <w:lang w:val="es-VE"/>
        </w:rPr>
      </w:pPr>
      <w:r w:rsidRPr="004945E1">
        <w:rPr>
          <w:b/>
          <w:lang w:val="es-VE"/>
        </w:rPr>
        <w:t>Salida rápida:</w:t>
      </w:r>
      <w:r w:rsidRPr="004945E1">
        <w:rPr>
          <w:lang w:val="es-VE"/>
        </w:rPr>
        <w:t xml:space="preserve"> </w:t>
      </w:r>
      <w:r w:rsidR="00E07761" w:rsidRPr="004945E1">
        <w:rPr>
          <w:lang w:val="es-VE"/>
        </w:rPr>
        <w:t>l</w:t>
      </w:r>
      <w:r w:rsidRPr="004945E1">
        <w:rPr>
          <w:lang w:val="es-VE"/>
        </w:rPr>
        <w:t>as estrategias de salida rápida son apropiadas después de que un grupo familiar haya ingresado a un refugio de emergencia o se haya quedado en un entorno sin protección y sirven para ayudarlos a regresar lo más rápido posible a una vivienda temporal o permanente, segura y apropiada, con el apoyo de servicios y un nivel mínimo de asistencia financiera. Un grupo familiar es "sacado rápidamente" si ha entrado en la falta literal de vivienda y recibe apoyo para acceder rápidamente a otras alternativas seguras, incluso si son temporales, para permanecer en un refugio de emergencia o en un lugar que no está destinado a la habitación humana.</w:t>
      </w:r>
    </w:p>
    <w:p w14:paraId="536C426D" w14:textId="77777777" w:rsidR="007271AD" w:rsidRPr="004945E1" w:rsidRDefault="007271AD">
      <w:pPr>
        <w:pStyle w:val="NoSpacing"/>
        <w:ind w:left="360"/>
        <w:rPr>
          <w:lang w:val="es-VE"/>
        </w:rPr>
      </w:pPr>
    </w:p>
    <w:p w14:paraId="7B3D3B1E" w14:textId="77777777" w:rsidR="007271AD" w:rsidRPr="004945E1" w:rsidRDefault="00FB26D9">
      <w:pPr>
        <w:pStyle w:val="NoSpacing"/>
        <w:numPr>
          <w:ilvl w:val="0"/>
          <w:numId w:val="9"/>
        </w:numPr>
        <w:ind w:left="360"/>
        <w:rPr>
          <w:lang w:val="es-VE"/>
        </w:rPr>
      </w:pPr>
      <w:r w:rsidRPr="004945E1">
        <w:rPr>
          <w:b/>
          <w:lang w:val="es-VE"/>
        </w:rPr>
        <w:t>Prevención de falta de hogar:</w:t>
      </w:r>
      <w:r w:rsidRPr="004945E1">
        <w:rPr>
          <w:lang w:val="es-VE"/>
        </w:rPr>
        <w:t xml:space="preserve"> las estrategias de prevención de falta de hogar representan una amplia gama de esfuerzos para evitar que ocurran crisis de vivienda y para evitar que las personas que enfrentan tales crisis experimenten la falta de vivienda. La prevención dirigida de la falta de vivienda (es decir, SSVF) es un tipo de prevención secundaria que ofrece una asistencia más enfocada para los grupos familiares que enfrentan la pérdida inminente de la vivienda y la falta literal de vivienda. </w:t>
      </w:r>
    </w:p>
    <w:p w14:paraId="786E3A74" w14:textId="4F039BE0" w:rsidR="007271AD" w:rsidRPr="004945E1" w:rsidRDefault="007271AD">
      <w:pPr>
        <w:pStyle w:val="NoSpacing"/>
        <w:rPr>
          <w:lang w:val="es-VE"/>
        </w:rPr>
      </w:pPr>
    </w:p>
    <w:p w14:paraId="613B861B" w14:textId="0251968E" w:rsidR="007271AD" w:rsidRPr="004945E1" w:rsidRDefault="00FB26D9">
      <w:pPr>
        <w:pStyle w:val="NoSpacing"/>
        <w:numPr>
          <w:ilvl w:val="0"/>
          <w:numId w:val="9"/>
        </w:numPr>
        <w:ind w:left="360"/>
        <w:rPr>
          <w:lang w:val="es-VE"/>
        </w:rPr>
      </w:pPr>
      <w:r w:rsidRPr="004945E1">
        <w:rPr>
          <w:b/>
          <w:lang w:val="es-VE"/>
        </w:rPr>
        <w:t>Equidad:</w:t>
      </w:r>
      <w:r w:rsidRPr="004945E1">
        <w:rPr>
          <w:lang w:val="es-VE"/>
        </w:rPr>
        <w:t xml:space="preserve"> </w:t>
      </w:r>
      <w:r w:rsidR="00E07761" w:rsidRPr="004945E1">
        <w:rPr>
          <w:lang w:val="es-VE"/>
        </w:rPr>
        <w:t>l</w:t>
      </w:r>
      <w:r w:rsidRPr="004945E1">
        <w:rPr>
          <w:lang w:val="es-VE"/>
        </w:rPr>
        <w:t>a equidad se logra cuando la raza, el origen étnico, la orientación sexual, el género o la preferencia de género, la religión o la geografía de una persona ya no predicen los resultados. Los beneficiarios de SSVF deben revisar los datos del programa y de la comunidad para garantizar el acceso equitativo a los servicios y la prestación de los mismos, y emplear estrategias que promuevan prácticas, protocolos y autoridad para la toma de decisiones equitativas.</w:t>
      </w:r>
    </w:p>
    <w:sectPr w:rsidR="007271AD" w:rsidRPr="004945E1">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A93FB" w14:textId="77777777" w:rsidR="00DF3A91" w:rsidRDefault="00DF3A91">
      <w:r>
        <w:separator/>
      </w:r>
    </w:p>
  </w:endnote>
  <w:endnote w:type="continuationSeparator" w:id="0">
    <w:p w14:paraId="3A1100AE" w14:textId="77777777" w:rsidR="00DF3A91" w:rsidRDefault="00DF3A91">
      <w:r>
        <w:continuationSeparator/>
      </w:r>
    </w:p>
  </w:endnote>
  <w:endnote w:id="1">
    <w:p w14:paraId="3D6D2E84" w14:textId="77777777" w:rsidR="007271AD" w:rsidRDefault="00FB26D9" w:rsidP="003C1231">
      <w:pPr>
        <w:pStyle w:val="EndnoteText"/>
        <w:rPr>
          <w:sz w:val="18"/>
        </w:rPr>
      </w:pPr>
      <w:r>
        <w:rPr>
          <w:rStyle w:val="EndnoteReference"/>
          <w:sz w:val="18"/>
        </w:rPr>
        <w:endnoteRef/>
      </w:r>
      <w:r>
        <w:rPr>
          <w:sz w:val="18"/>
        </w:rPr>
        <w:t>Administración de Salud Mental y Abuso de Sustancias de EE.UU. Atención informada sobre el trauma en los servicios de salud del comportamiento. Protocolo de Mejora del Tratamiento (TIP, por sus siglas en inglés) Serie 57. Publication HHS no. (SMA) 13-4801. Rockville, MD: Administración de Servicios de Salud Mental y Abuso de Sustancias, 2014.</w:t>
      </w:r>
    </w:p>
  </w:endnote>
  <w:endnote w:id="2">
    <w:p w14:paraId="209E455D" w14:textId="77777777" w:rsidR="007271AD" w:rsidRDefault="007271AD">
      <w:pPr>
        <w:pStyle w:val="EndnoteText"/>
        <w:rPr>
          <w:sz w:val="18"/>
        </w:rPr>
      </w:pPr>
    </w:p>
    <w:p w14:paraId="72D7B83B" w14:textId="77777777" w:rsidR="007271AD" w:rsidRDefault="00FB26D9">
      <w:pPr>
        <w:pStyle w:val="EndnoteText"/>
        <w:rPr>
          <w:sz w:val="18"/>
        </w:rPr>
      </w:pPr>
      <w:r>
        <w:rPr>
          <w:rStyle w:val="EndnoteReference"/>
          <w:sz w:val="18"/>
        </w:rPr>
        <w:endnoteRef/>
      </w:r>
      <w:r>
        <w:rPr>
          <w:sz w:val="18"/>
        </w:rPr>
        <w:t>Administración de Salud Mental y Abuso de Sustancias de EE.UU. Atención informada sobre el trauma en los servicios de salud del comportamiento. Protocolo de Mejora del Tratamiento (TIP, por sus siglas en inglés) Serie 57. Publication HHS no. (SMA) 13-4801. Rockville, MD: Administración de Servicios de Salud Mental y Abuso de Sustancias, 2014.</w:t>
      </w:r>
    </w:p>
  </w:endnote>
  <w:endnote w:id="3">
    <w:p w14:paraId="7F217B05" w14:textId="2E6FA0A0" w:rsidR="007271AD" w:rsidRDefault="00FB26D9">
      <w:pPr>
        <w:pStyle w:val="EndnoteText"/>
        <w:rPr>
          <w:sz w:val="16"/>
        </w:rPr>
      </w:pPr>
      <w:r>
        <w:rPr>
          <w:rStyle w:val="EndnoteReference"/>
          <w:sz w:val="16"/>
        </w:rPr>
        <w:endnoteRef/>
      </w:r>
      <w:r>
        <w:rPr>
          <w:sz w:val="16"/>
        </w:rPr>
        <w:t xml:space="preserve">Adaptado en parte de la Guía del Capacitador de CCP de SAMHSA: Capacitación de contenido básico. Programa de Capacitación y Asistencia de Consejería de Crisis, 2013. </w:t>
      </w:r>
      <w:hyperlink r:id="rId1" w:history="1">
        <w:r>
          <w:rPr>
            <w:rStyle w:val="Hyperlink"/>
            <w:sz w:val="16"/>
          </w:rPr>
          <w:t>https://www.samhsa.gov/sites/default/files/core-content-trainers-guide.pdf</w:t>
        </w:r>
      </w:hyperlink>
      <w:r>
        <w:rPr>
          <w:sz w:val="16"/>
        </w:rPr>
        <w:t xml:space="preserve"> </w:t>
      </w:r>
    </w:p>
    <w:p w14:paraId="0B71D745" w14:textId="77777777" w:rsidR="007271AD" w:rsidRDefault="007271AD">
      <w:pPr>
        <w:pStyle w:val="EndnoteText"/>
        <w:rPr>
          <w:sz w:val="16"/>
        </w:rPr>
      </w:pPr>
    </w:p>
  </w:endnote>
  <w:endnote w:id="4">
    <w:p w14:paraId="44BC9097" w14:textId="63085C4A" w:rsidR="007271AD" w:rsidRDefault="00FB26D9">
      <w:pPr>
        <w:pStyle w:val="EndnoteText"/>
        <w:rPr>
          <w:sz w:val="18"/>
        </w:rPr>
      </w:pPr>
      <w:r>
        <w:rPr>
          <w:rStyle w:val="EndnoteReference"/>
          <w:sz w:val="18"/>
        </w:rPr>
        <w:t>3</w:t>
      </w:r>
      <w:r>
        <w:rPr>
          <w:sz w:val="18"/>
        </w:rPr>
        <w:t xml:space="preserve"> Adaptado en parte de la Guía del Capacitador de CCP de SAMHSA: Capacitación de contenido básico. Programa de Capacitación y Asistencia de Consejería de Crisis, 2013. </w:t>
      </w:r>
      <w:hyperlink r:id="rId2" w:history="1">
        <w:r>
          <w:rPr>
            <w:rStyle w:val="Hyperlink"/>
            <w:sz w:val="18"/>
          </w:rPr>
          <w:t>https://www.samhsa.gov/sites/default/files/core-content-trainers-guide.pdf</w:t>
        </w:r>
      </w:hyperlink>
      <w:r>
        <w:rPr>
          <w:sz w:val="18"/>
        </w:rPr>
        <w:t xml:space="preserve"> </w:t>
      </w:r>
    </w:p>
    <w:p w14:paraId="52C964F7" w14:textId="58C4CB97" w:rsidR="007271AD" w:rsidRDefault="007271AD">
      <w:pPr>
        <w:pStyle w:val="EndnoteText"/>
        <w:rPr>
          <w:sz w:val="18"/>
        </w:rPr>
      </w:pPr>
    </w:p>
    <w:p w14:paraId="10C35545" w14:textId="1F62223A" w:rsidR="007271AD" w:rsidRDefault="007271AD">
      <w:pPr>
        <w:pStyle w:val="EndnoteText"/>
        <w:rPr>
          <w:sz w:val="18"/>
        </w:rPr>
      </w:pPr>
    </w:p>
    <w:p w14:paraId="12C7BE19" w14:textId="74593C64" w:rsidR="007271AD" w:rsidRDefault="007271AD">
      <w:pPr>
        <w:pStyle w:val="EndnoteText"/>
        <w:rPr>
          <w:sz w:val="18"/>
        </w:rPr>
      </w:pPr>
    </w:p>
    <w:p w14:paraId="5D270E4A" w14:textId="77777777" w:rsidR="007271AD" w:rsidRDefault="007271AD">
      <w:pPr>
        <w:spacing w:after="200" w:line="276" w:lineRule="auto"/>
        <w:jc w:val="center"/>
        <w:rPr>
          <w:rFonts w:ascii="Calibri" w:hAnsi="Calibri" w:cs="Calibri"/>
          <w:b/>
          <w:color w:val="1F3864" w:themeColor="accent1" w:themeShade="80"/>
          <w:sz w:val="32"/>
        </w:rPr>
      </w:pPr>
    </w:p>
    <w:p w14:paraId="44948E57" w14:textId="366D0706" w:rsidR="007271AD" w:rsidRDefault="007271AD">
      <w:pPr>
        <w:spacing w:after="200" w:line="276" w:lineRule="auto"/>
        <w:jc w:val="center"/>
        <w:rPr>
          <w:rFonts w:ascii="Calibri" w:hAnsi="Calibri" w:cs="Calibri"/>
          <w:b/>
          <w:color w:val="1F3864" w:themeColor="accent1" w:themeShade="80"/>
          <w:sz w:val="32"/>
        </w:rPr>
      </w:pPr>
    </w:p>
    <w:p w14:paraId="0FB34F38" w14:textId="6CF2C93E" w:rsidR="00955763" w:rsidRDefault="00955763">
      <w:pPr>
        <w:spacing w:after="200" w:line="276" w:lineRule="auto"/>
        <w:jc w:val="center"/>
        <w:rPr>
          <w:rFonts w:ascii="Calibri" w:hAnsi="Calibri" w:cs="Calibri"/>
          <w:b/>
          <w:color w:val="1F3864" w:themeColor="accent1" w:themeShade="80"/>
          <w:sz w:val="32"/>
        </w:rPr>
      </w:pPr>
    </w:p>
    <w:p w14:paraId="391F4EAD" w14:textId="011A2622" w:rsidR="00955763" w:rsidRDefault="00955763">
      <w:pPr>
        <w:spacing w:after="200" w:line="276" w:lineRule="auto"/>
        <w:jc w:val="center"/>
        <w:rPr>
          <w:rFonts w:ascii="Calibri" w:hAnsi="Calibri" w:cs="Calibri"/>
          <w:b/>
          <w:color w:val="1F3864" w:themeColor="accent1" w:themeShade="80"/>
          <w:sz w:val="32"/>
        </w:rPr>
      </w:pPr>
    </w:p>
    <w:p w14:paraId="63358D50" w14:textId="187B214A" w:rsidR="00955763" w:rsidRDefault="00955763">
      <w:pPr>
        <w:spacing w:after="200" w:line="276" w:lineRule="auto"/>
        <w:jc w:val="center"/>
        <w:rPr>
          <w:rFonts w:ascii="Calibri" w:hAnsi="Calibri" w:cs="Calibri"/>
          <w:b/>
          <w:color w:val="1F3864" w:themeColor="accent1" w:themeShade="80"/>
          <w:sz w:val="32"/>
        </w:rPr>
      </w:pPr>
    </w:p>
    <w:p w14:paraId="46B8D00D" w14:textId="3B125718" w:rsidR="00955763" w:rsidRDefault="00955763">
      <w:pPr>
        <w:spacing w:after="200" w:line="276" w:lineRule="auto"/>
        <w:jc w:val="center"/>
        <w:rPr>
          <w:rFonts w:ascii="Calibri" w:hAnsi="Calibri" w:cs="Calibri"/>
          <w:b/>
          <w:color w:val="1F3864" w:themeColor="accent1" w:themeShade="80"/>
          <w:sz w:val="32"/>
        </w:rPr>
      </w:pPr>
    </w:p>
    <w:p w14:paraId="49A3FB6D" w14:textId="32F157EB" w:rsidR="00955763" w:rsidRDefault="00955763">
      <w:pPr>
        <w:spacing w:after="200" w:line="276" w:lineRule="auto"/>
        <w:jc w:val="center"/>
        <w:rPr>
          <w:rFonts w:ascii="Calibri" w:hAnsi="Calibri" w:cs="Calibri"/>
          <w:b/>
          <w:color w:val="1F3864" w:themeColor="accent1" w:themeShade="80"/>
          <w:sz w:val="32"/>
        </w:rPr>
      </w:pPr>
    </w:p>
    <w:p w14:paraId="6FC6AB9C" w14:textId="33B26653" w:rsidR="00955763" w:rsidRDefault="00955763">
      <w:pPr>
        <w:spacing w:after="200" w:line="276" w:lineRule="auto"/>
        <w:jc w:val="center"/>
        <w:rPr>
          <w:rFonts w:ascii="Calibri" w:hAnsi="Calibri" w:cs="Calibri"/>
          <w:b/>
          <w:color w:val="1F3864" w:themeColor="accent1" w:themeShade="80"/>
          <w:sz w:val="32"/>
        </w:rPr>
      </w:pPr>
    </w:p>
    <w:p w14:paraId="5E0C524C" w14:textId="19BE06C7" w:rsidR="00955763" w:rsidRDefault="00955763">
      <w:pPr>
        <w:spacing w:after="200" w:line="276" w:lineRule="auto"/>
        <w:jc w:val="center"/>
        <w:rPr>
          <w:rFonts w:ascii="Calibri" w:hAnsi="Calibri" w:cs="Calibri"/>
          <w:b/>
          <w:color w:val="1F3864" w:themeColor="accent1" w:themeShade="80"/>
          <w:sz w:val="32"/>
        </w:rPr>
      </w:pPr>
    </w:p>
    <w:p w14:paraId="2A16B99D" w14:textId="44DB9427" w:rsidR="00955763" w:rsidRDefault="00955763">
      <w:pPr>
        <w:spacing w:after="200" w:line="276" w:lineRule="auto"/>
        <w:jc w:val="center"/>
        <w:rPr>
          <w:rFonts w:ascii="Calibri" w:hAnsi="Calibri" w:cs="Calibri"/>
          <w:b/>
          <w:color w:val="1F3864" w:themeColor="accent1" w:themeShade="80"/>
          <w:sz w:val="32"/>
        </w:rPr>
      </w:pPr>
    </w:p>
    <w:p w14:paraId="36CF6706" w14:textId="4DB01643" w:rsidR="00955763" w:rsidRDefault="00955763">
      <w:pPr>
        <w:spacing w:after="200" w:line="276" w:lineRule="auto"/>
        <w:jc w:val="center"/>
        <w:rPr>
          <w:rFonts w:ascii="Calibri" w:hAnsi="Calibri" w:cs="Calibri"/>
          <w:b/>
          <w:color w:val="1F3864" w:themeColor="accent1" w:themeShade="80"/>
          <w:sz w:val="32"/>
        </w:rPr>
      </w:pPr>
    </w:p>
    <w:p w14:paraId="7752F44F" w14:textId="44737116" w:rsidR="00955763" w:rsidRDefault="00955763">
      <w:pPr>
        <w:spacing w:after="200" w:line="276" w:lineRule="auto"/>
        <w:jc w:val="center"/>
        <w:rPr>
          <w:rFonts w:ascii="Calibri" w:hAnsi="Calibri" w:cs="Calibri"/>
          <w:b/>
          <w:color w:val="1F3864" w:themeColor="accent1" w:themeShade="80"/>
          <w:sz w:val="32"/>
        </w:rPr>
      </w:pPr>
    </w:p>
    <w:p w14:paraId="1BC63289" w14:textId="1D8D6792" w:rsidR="00955763" w:rsidRDefault="00955763">
      <w:pPr>
        <w:spacing w:after="200" w:line="276" w:lineRule="auto"/>
        <w:jc w:val="center"/>
        <w:rPr>
          <w:rFonts w:ascii="Calibri" w:hAnsi="Calibri" w:cs="Calibri"/>
          <w:b/>
          <w:color w:val="1F3864" w:themeColor="accent1" w:themeShade="80"/>
          <w:sz w:val="32"/>
        </w:rPr>
      </w:pPr>
    </w:p>
    <w:p w14:paraId="54CB0F8C" w14:textId="0D2060F4" w:rsidR="00955763" w:rsidRDefault="00955763">
      <w:pPr>
        <w:spacing w:after="200" w:line="276" w:lineRule="auto"/>
        <w:jc w:val="center"/>
        <w:rPr>
          <w:rFonts w:ascii="Calibri" w:hAnsi="Calibri" w:cs="Calibri"/>
          <w:b/>
          <w:color w:val="1F3864" w:themeColor="accent1" w:themeShade="80"/>
          <w:sz w:val="32"/>
        </w:rPr>
      </w:pPr>
    </w:p>
    <w:p w14:paraId="2E34241E" w14:textId="215A6493" w:rsidR="00955763" w:rsidRDefault="00955763">
      <w:pPr>
        <w:spacing w:after="200" w:line="276" w:lineRule="auto"/>
        <w:jc w:val="center"/>
        <w:rPr>
          <w:rFonts w:ascii="Calibri" w:hAnsi="Calibri" w:cs="Calibri"/>
          <w:b/>
          <w:color w:val="1F3864" w:themeColor="accent1" w:themeShade="80"/>
          <w:sz w:val="32"/>
        </w:rPr>
      </w:pPr>
    </w:p>
    <w:p w14:paraId="23D10E6E" w14:textId="77777777" w:rsidR="00955763" w:rsidRDefault="00955763">
      <w:pPr>
        <w:spacing w:after="200" w:line="276" w:lineRule="auto"/>
        <w:jc w:val="center"/>
        <w:rPr>
          <w:rFonts w:ascii="Calibri" w:hAnsi="Calibri" w:cs="Calibri"/>
          <w:b/>
          <w:color w:val="1F3864" w:themeColor="accent1" w:themeShade="80"/>
          <w:sz w:val="32"/>
        </w:rPr>
      </w:pPr>
    </w:p>
    <w:p w14:paraId="14878F9E" w14:textId="77777777" w:rsidR="007271AD" w:rsidRDefault="007271AD">
      <w:pPr>
        <w:spacing w:after="200" w:line="276" w:lineRule="auto"/>
        <w:jc w:val="center"/>
        <w:rPr>
          <w:rFonts w:ascii="Calibri" w:hAnsi="Calibri" w:cs="Calibri"/>
          <w:b/>
          <w:color w:val="1F3864" w:themeColor="accent1" w:themeShade="80"/>
          <w:sz w:val="32"/>
        </w:rPr>
      </w:pPr>
    </w:p>
    <w:p w14:paraId="1D9719F9" w14:textId="05BF3CAE" w:rsidR="007271AD" w:rsidRDefault="00FB26D9">
      <w:pPr>
        <w:spacing w:after="200" w:line="276" w:lineRule="auto"/>
        <w:jc w:val="center"/>
        <w:rPr>
          <w:rFonts w:ascii="Calibri" w:hAnsi="Calibri" w:cs="Calibri"/>
          <w:b/>
          <w:color w:val="1F3864" w:themeColor="accent1" w:themeShade="80"/>
          <w:sz w:val="32"/>
        </w:rPr>
      </w:pPr>
      <w:r>
        <w:rPr>
          <w:rFonts w:ascii="Calibri" w:hAnsi="Calibri" w:cs="Calibri"/>
          <w:b/>
          <w:color w:val="1F3864" w:themeColor="accent1" w:themeShade="80"/>
          <w:sz w:val="32"/>
        </w:rPr>
        <w:t xml:space="preserve">Página de firma del Evaluador de Entrada Coordinada de Three County CoC </w:t>
      </w:r>
    </w:p>
    <w:p w14:paraId="4E71AC4C" w14:textId="77777777" w:rsidR="007271AD" w:rsidRDefault="007271AD">
      <w:pPr>
        <w:spacing w:after="200" w:line="276" w:lineRule="auto"/>
        <w:jc w:val="center"/>
        <w:rPr>
          <w:rFonts w:ascii="Calibri" w:hAnsi="Calibri" w:cs="Calibri"/>
          <w:b/>
          <w:color w:val="1F3864" w:themeColor="accent1" w:themeShade="80"/>
          <w:sz w:val="32"/>
        </w:rPr>
      </w:pPr>
    </w:p>
    <w:p w14:paraId="48CC199B" w14:textId="76B30FCA" w:rsidR="007271AD" w:rsidRDefault="00FB26D9">
      <w:pPr>
        <w:spacing w:after="200" w:line="276" w:lineRule="auto"/>
        <w:jc w:val="center"/>
        <w:rPr>
          <w:rFonts w:ascii="Calibri" w:hAnsi="Calibri" w:cs="Calibri"/>
          <w:b/>
          <w:color w:val="1F3864" w:themeColor="accent1" w:themeShade="80"/>
          <w:sz w:val="32"/>
        </w:rPr>
      </w:pPr>
      <w:r>
        <w:rPr>
          <w:rFonts w:ascii="Calibri" w:hAnsi="Calibri" w:cs="Calibri"/>
          <w:b/>
          <w:noProof/>
          <w:color w:val="1F3864" w:themeColor="accent1" w:themeShade="80"/>
          <w:sz w:val="32"/>
        </w:rPr>
        <w:drawing>
          <wp:inline distT="0" distB="0" distL="0" distR="0" wp14:anchorId="5AD28CC5" wp14:editId="5A6F4ED0">
            <wp:extent cx="1204332" cy="712732"/>
            <wp:effectExtent l="0" t="0" r="0" b="0"/>
            <wp:docPr id="1" name="Picture 1" descr="C:\Users\BMurphy\AppData\Local\Microsoft\Windows\INetCache\Content.MSO\5DAE0E8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Murphy\AppData\Local\Microsoft\Windows\INetCache\Content.MSO\5DAE0E84.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4564" cy="718787"/>
                    </a:xfrm>
                    <a:prstGeom prst="rect">
                      <a:avLst/>
                    </a:prstGeom>
                    <a:noFill/>
                    <a:ln>
                      <a:noFill/>
                    </a:ln>
                  </pic:spPr>
                </pic:pic>
              </a:graphicData>
            </a:graphic>
          </wp:inline>
        </w:drawing>
      </w:r>
    </w:p>
    <w:p w14:paraId="58FF3955" w14:textId="77777777" w:rsidR="007271AD" w:rsidRDefault="007271AD">
      <w:pPr>
        <w:spacing w:after="200" w:line="276" w:lineRule="auto"/>
        <w:jc w:val="center"/>
        <w:rPr>
          <w:rFonts w:ascii="Calibri" w:hAnsi="Calibri" w:cs="Calibri"/>
        </w:rPr>
      </w:pPr>
    </w:p>
    <w:p w14:paraId="52474C8B" w14:textId="1721C97F" w:rsidR="007271AD" w:rsidRDefault="00FB26D9">
      <w:pPr>
        <w:spacing w:after="200" w:line="276" w:lineRule="auto"/>
        <w:jc w:val="center"/>
        <w:rPr>
          <w:rFonts w:ascii="Calibri" w:hAnsi="Calibri" w:cs="Calibri"/>
        </w:rPr>
      </w:pPr>
      <w:r>
        <w:rPr>
          <w:rFonts w:ascii="Calibri" w:hAnsi="Calibri" w:cs="Calibri"/>
        </w:rPr>
        <w:t>Todos los Evaluadores de Entrada Coordinada de Three County CoC deben leer esta Guía Complementaria y firmar esta página antes de comenzar a utilizar la Herramienta para la Evaluación de Entrada Coordinada de Three County CoC.</w:t>
      </w:r>
    </w:p>
    <w:p w14:paraId="14504219" w14:textId="53DCE5F5" w:rsidR="007271AD" w:rsidRDefault="007271AD">
      <w:pPr>
        <w:spacing w:after="200" w:line="276" w:lineRule="auto"/>
        <w:jc w:val="center"/>
        <w:rPr>
          <w:rFonts w:ascii="Calibri" w:hAnsi="Calibri" w:cs="Calibri"/>
        </w:rPr>
      </w:pPr>
    </w:p>
    <w:p w14:paraId="5C6EDCBE" w14:textId="77777777" w:rsidR="007271AD" w:rsidRDefault="007271AD">
      <w:pPr>
        <w:spacing w:after="200" w:line="276" w:lineRule="auto"/>
        <w:jc w:val="center"/>
        <w:rPr>
          <w:rFonts w:ascii="Calibri" w:hAnsi="Calibri" w:cs="Calibri"/>
        </w:rPr>
      </w:pPr>
    </w:p>
    <w:p w14:paraId="66046523" w14:textId="6E2EDB2A" w:rsidR="007271AD" w:rsidRDefault="00FB26D9">
      <w:pPr>
        <w:spacing w:after="200" w:line="276" w:lineRule="auto"/>
        <w:jc w:val="center"/>
        <w:rPr>
          <w:rFonts w:ascii="Calibri" w:hAnsi="Calibri" w:cs="Calibri"/>
        </w:rPr>
      </w:pPr>
      <w:r>
        <w:rPr>
          <w:rFonts w:ascii="Calibri" w:hAnsi="Calibri" w:cs="Calibri"/>
        </w:rPr>
        <w:t xml:space="preserve">Al firmar esta página, confirma que leyó la Guía Complementaria, asistió a las capacitaciones requeridas y se comprometió con las responsabilidades y expectativas de los Evaluadores de CE de Three County. </w:t>
      </w:r>
    </w:p>
    <w:p w14:paraId="62CB2EE9" w14:textId="2363531E" w:rsidR="007271AD" w:rsidRDefault="007271AD">
      <w:pPr>
        <w:spacing w:after="200" w:line="276" w:lineRule="auto"/>
        <w:rPr>
          <w:rFonts w:ascii="Calibri" w:hAnsi="Calibri" w:cs="Calibri"/>
        </w:rPr>
      </w:pPr>
    </w:p>
    <w:p w14:paraId="39C97D64" w14:textId="6A2EE6EB" w:rsidR="007271AD" w:rsidRDefault="007271AD">
      <w:pPr>
        <w:spacing w:after="200" w:line="276" w:lineRule="auto"/>
        <w:rPr>
          <w:rFonts w:ascii="Calibri" w:hAnsi="Calibri" w:cs="Calibri"/>
        </w:rPr>
      </w:pPr>
    </w:p>
    <w:p w14:paraId="27D399A8" w14:textId="23CB3053" w:rsidR="007271AD" w:rsidRDefault="00FB26D9">
      <w:pPr>
        <w:spacing w:after="200" w:line="276" w:lineRule="auto"/>
        <w:rPr>
          <w:rFonts w:ascii="Calibri" w:hAnsi="Calibri" w:cs="Calibri"/>
          <w:color w:val="323E4F" w:themeColor="text2" w:themeShade="BF"/>
          <w:sz w:val="32"/>
        </w:rPr>
      </w:pPr>
      <w:r>
        <w:rPr>
          <w:rFonts w:ascii="Calibri" w:hAnsi="Calibri" w:cs="Calibri"/>
          <w:color w:val="323E4F" w:themeColor="text2" w:themeShade="BF"/>
          <w:sz w:val="32"/>
        </w:rPr>
        <w:t>_____________________</w:t>
      </w:r>
      <w:r>
        <w:rPr>
          <w:rFonts w:ascii="Calibri" w:hAnsi="Calibri" w:cs="Calibri"/>
          <w:color w:val="323E4F" w:themeColor="text2" w:themeShade="BF"/>
          <w:sz w:val="32"/>
        </w:rPr>
        <w:tab/>
        <w:t xml:space="preserve"> </w:t>
      </w:r>
      <w:r>
        <w:rPr>
          <w:rFonts w:ascii="Calibri" w:hAnsi="Calibri" w:cs="Calibri"/>
          <w:color w:val="323E4F" w:themeColor="text2" w:themeShade="BF"/>
          <w:sz w:val="32"/>
        </w:rPr>
        <w:tab/>
      </w:r>
      <w:r w:rsidR="003C1231">
        <w:rPr>
          <w:rFonts w:ascii="Calibri" w:hAnsi="Calibri" w:cs="Calibri"/>
          <w:color w:val="323E4F" w:themeColor="text2" w:themeShade="BF"/>
          <w:sz w:val="32"/>
        </w:rPr>
        <w:t xml:space="preserve">    </w:t>
      </w:r>
      <w:r w:rsidR="003C1231">
        <w:rPr>
          <w:rFonts w:ascii="Calibri" w:hAnsi="Calibri" w:cs="Calibri"/>
          <w:color w:val="323E4F" w:themeColor="text2" w:themeShade="BF"/>
          <w:sz w:val="32"/>
        </w:rPr>
        <w:tab/>
      </w:r>
      <w:r>
        <w:rPr>
          <w:rFonts w:ascii="Calibri" w:hAnsi="Calibri" w:cs="Calibri"/>
          <w:color w:val="323E4F" w:themeColor="text2" w:themeShade="BF"/>
          <w:sz w:val="32"/>
        </w:rPr>
        <w:t>________________________________</w:t>
      </w:r>
    </w:p>
    <w:p w14:paraId="7BBA82EA" w14:textId="0F28D185" w:rsidR="007271AD" w:rsidRDefault="00FB26D9">
      <w:pPr>
        <w:spacing w:after="200" w:line="276" w:lineRule="auto"/>
        <w:rPr>
          <w:rFonts w:ascii="Calibri" w:hAnsi="Calibri" w:cs="Calibri"/>
        </w:rPr>
      </w:pPr>
      <w:r>
        <w:rPr>
          <w:rFonts w:ascii="Calibri" w:hAnsi="Calibri" w:cs="Calibri"/>
        </w:rPr>
        <w:t>(Nombre en mayúsculas)</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(Cargo, Agencia)</w:t>
      </w:r>
    </w:p>
    <w:p w14:paraId="3D3D56C0" w14:textId="672E5A8A" w:rsidR="007271AD" w:rsidRDefault="007271AD">
      <w:pPr>
        <w:spacing w:after="200" w:line="276" w:lineRule="auto"/>
        <w:ind w:firstLine="720"/>
        <w:rPr>
          <w:rFonts w:ascii="Calibri" w:hAnsi="Calibri" w:cs="Calibri"/>
          <w:color w:val="323E4F" w:themeColor="text2" w:themeShade="BF"/>
          <w:sz w:val="32"/>
        </w:rPr>
      </w:pPr>
    </w:p>
    <w:p w14:paraId="7535D472" w14:textId="77777777" w:rsidR="007271AD" w:rsidRDefault="00FB26D9">
      <w:pPr>
        <w:spacing w:after="200" w:line="276" w:lineRule="auto"/>
        <w:rPr>
          <w:rFonts w:ascii="Calibri" w:hAnsi="Calibri" w:cs="Calibri"/>
          <w:color w:val="323E4F" w:themeColor="text2" w:themeShade="BF"/>
          <w:sz w:val="32"/>
        </w:rPr>
      </w:pPr>
      <w:r>
        <w:rPr>
          <w:rFonts w:ascii="Calibri" w:hAnsi="Calibri" w:cs="Calibri"/>
          <w:color w:val="323E4F" w:themeColor="text2" w:themeShade="BF"/>
          <w:sz w:val="32"/>
        </w:rPr>
        <w:t>_________________________</w:t>
      </w:r>
      <w:r>
        <w:rPr>
          <w:rFonts w:ascii="Calibri" w:hAnsi="Calibri" w:cs="Calibri"/>
          <w:color w:val="323E4F" w:themeColor="text2" w:themeShade="BF"/>
          <w:sz w:val="32"/>
        </w:rPr>
        <w:tab/>
      </w:r>
      <w:r>
        <w:rPr>
          <w:rFonts w:ascii="Calibri" w:hAnsi="Calibri" w:cs="Calibri"/>
          <w:color w:val="323E4F" w:themeColor="text2" w:themeShade="BF"/>
          <w:sz w:val="32"/>
        </w:rPr>
        <w:tab/>
        <w:t>________________</w:t>
      </w:r>
    </w:p>
    <w:p w14:paraId="2D240B4E" w14:textId="63095D6E" w:rsidR="007271AD" w:rsidRDefault="00FB26D9">
      <w:pPr>
        <w:spacing w:after="200" w:line="276" w:lineRule="auto"/>
        <w:rPr>
          <w:rFonts w:ascii="Calibri" w:hAnsi="Calibri" w:cs="Calibri"/>
          <w:color w:val="323E4F" w:themeColor="text2" w:themeShade="BF"/>
          <w:sz w:val="32"/>
        </w:rPr>
      </w:pPr>
      <w:r>
        <w:rPr>
          <w:rFonts w:ascii="Calibri" w:hAnsi="Calibri" w:cs="Calibri"/>
        </w:rPr>
        <w:t xml:space="preserve">(Firma)                                    </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(Fecha de firma)</w:t>
      </w:r>
    </w:p>
    <w:p w14:paraId="1E6EADEF" w14:textId="77777777" w:rsidR="007271AD" w:rsidRDefault="007271AD">
      <w:pPr>
        <w:pStyle w:val="EndnoteText"/>
        <w:rPr>
          <w:sz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AFBA" w14:textId="2E9368D2" w:rsidR="007271AD" w:rsidRDefault="00FB26D9">
    <w:pPr>
      <w:pStyle w:val="Footer"/>
      <w:rPr>
        <w:sz w:val="20"/>
      </w:rPr>
    </w:pPr>
    <w:r>
      <w:rPr>
        <w:sz w:val="20"/>
      </w:rPr>
      <w:t>Enero de 2022</w:t>
    </w:r>
    <w:r>
      <w:rPr>
        <w:sz w:val="20"/>
      </w:rPr>
      <w:ptab w:relativeTo="margin" w:alignment="center" w:leader="none"/>
    </w:r>
    <w:r>
      <w:rPr>
        <w:sz w:val="20"/>
      </w:rPr>
      <w:t>Three County CoC</w:t>
    </w:r>
    <w:r>
      <w:rPr>
        <w:sz w:val="20"/>
      </w:rPr>
      <w:ptab w:relativeTo="margin" w:alignment="right" w:leader="none"/>
    </w:r>
    <w:r>
      <w:rPr>
        <w:sz w:val="20"/>
      </w:rPr>
      <w:t xml:space="preserve">Página </w:t>
    </w:r>
    <w:r w:rsidRPr="007C7D5B">
      <w:rPr>
        <w:sz w:val="20"/>
      </w:rPr>
      <w:fldChar w:fldCharType="begin"/>
    </w:r>
    <w:r w:rsidRPr="007C7D5B">
      <w:rPr>
        <w:sz w:val="20"/>
        <w:szCs w:val="20"/>
      </w:rPr>
      <w:instrText xml:space="preserve"> PAGE  \* Arabic  \* MERGEFORMAT </w:instrText>
    </w:r>
    <w:r w:rsidRPr="007C7D5B">
      <w:rPr>
        <w:sz w:val="20"/>
        <w:szCs w:val="20"/>
      </w:rPr>
      <w:fldChar w:fldCharType="separate"/>
    </w:r>
    <w:r w:rsidR="001F4029">
      <w:rPr>
        <w:noProof/>
        <w:sz w:val="20"/>
        <w:szCs w:val="20"/>
      </w:rPr>
      <w:t>21</w:t>
    </w:r>
    <w:r w:rsidRPr="007C7D5B">
      <w:rPr>
        <w:sz w:val="20"/>
        <w:szCs w:val="20"/>
      </w:rPr>
      <w:fldChar w:fldCharType="end"/>
    </w:r>
    <w:r>
      <w:rPr>
        <w:sz w:val="20"/>
      </w:rPr>
      <w:t xml:space="preserve"> de </w:t>
    </w:r>
    <w:r w:rsidRPr="007C7D5B">
      <w:rPr>
        <w:sz w:val="20"/>
      </w:rPr>
      <w:fldChar w:fldCharType="begin"/>
    </w:r>
    <w:r w:rsidRPr="007C7D5B">
      <w:rPr>
        <w:sz w:val="20"/>
        <w:szCs w:val="20"/>
      </w:rPr>
      <w:instrText xml:space="preserve"> NUMPAGES  \* Arabic  \* MERGEFORMAT </w:instrText>
    </w:r>
    <w:r w:rsidRPr="007C7D5B">
      <w:rPr>
        <w:sz w:val="20"/>
        <w:szCs w:val="20"/>
      </w:rPr>
      <w:fldChar w:fldCharType="separate"/>
    </w:r>
    <w:r w:rsidR="001F4029">
      <w:rPr>
        <w:noProof/>
        <w:sz w:val="20"/>
        <w:szCs w:val="20"/>
      </w:rPr>
      <w:t>21</w:t>
    </w:r>
    <w:r w:rsidRPr="007C7D5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1A956" w14:textId="77777777" w:rsidR="00DF3A91" w:rsidRDefault="00DF3A91">
      <w:r>
        <w:separator/>
      </w:r>
    </w:p>
  </w:footnote>
  <w:footnote w:type="continuationSeparator" w:id="0">
    <w:p w14:paraId="2CEB45D0" w14:textId="77777777" w:rsidR="00DF3A91" w:rsidRDefault="00DF3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0F632" w14:textId="26A8BAFA" w:rsidR="007271AD" w:rsidRDefault="007271AD">
    <w:pPr>
      <w:pStyle w:val="Header"/>
    </w:pPr>
  </w:p>
  <w:p w14:paraId="7D820DF1" w14:textId="77777777" w:rsidR="007271AD" w:rsidRDefault="007271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DCC1" w14:textId="2ED28D27" w:rsidR="007271AD" w:rsidRDefault="00FB26D9">
    <w:pPr>
      <w:pStyle w:val="Header"/>
      <w:jc w:val="center"/>
    </w:pPr>
    <w:r>
      <w:rPr>
        <w:noProof/>
      </w:rPr>
      <w:drawing>
        <wp:inline distT="0" distB="0" distL="0" distR="0" wp14:anchorId="5E7DF07A" wp14:editId="207F53F6">
          <wp:extent cx="1182030" cy="69894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County Document Head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3788" cy="71771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F86"/>
    <w:multiLevelType w:val="hybridMultilevel"/>
    <w:tmpl w:val="E6E47C28"/>
    <w:lvl w:ilvl="0" w:tplc="858CEB1E">
      <w:start w:val="1"/>
      <w:numFmt w:val="bullet"/>
      <w:lvlText w:val=""/>
      <w:lvlJc w:val="left"/>
      <w:pPr>
        <w:ind w:left="720" w:hanging="360"/>
      </w:pPr>
      <w:rPr>
        <w:rFonts w:ascii="Wingdings" w:hAnsi="Wingdings"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B65CB"/>
    <w:multiLevelType w:val="hybridMultilevel"/>
    <w:tmpl w:val="3AAC42CA"/>
    <w:lvl w:ilvl="0" w:tplc="F3F0BD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E35583"/>
    <w:multiLevelType w:val="hybridMultilevel"/>
    <w:tmpl w:val="7952BD56"/>
    <w:lvl w:ilvl="0" w:tplc="403475E6">
      <w:start w:val="1"/>
      <w:numFmt w:val="bullet"/>
      <w:lvlText w:val=""/>
      <w:lvlJc w:val="left"/>
      <w:pPr>
        <w:ind w:left="720" w:hanging="360"/>
      </w:pPr>
      <w:rPr>
        <w:rFonts w:ascii="Symbol" w:hAnsi="Symbol" w:cs="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B59C6"/>
    <w:multiLevelType w:val="hybridMultilevel"/>
    <w:tmpl w:val="978E8EC6"/>
    <w:lvl w:ilvl="0" w:tplc="04090003">
      <w:start w:val="1"/>
      <w:numFmt w:val="bullet"/>
      <w:lvlText w:val="o"/>
      <w:lvlJc w:val="left"/>
      <w:pPr>
        <w:ind w:left="1080" w:hanging="360"/>
      </w:pPr>
      <w:rPr>
        <w:rFonts w:ascii="Courier New" w:hAnsi="Courier New" w:cs="Courier New" w:hint="default"/>
      </w:rPr>
    </w:lvl>
    <w:lvl w:ilvl="1" w:tplc="86722C0A">
      <w:start w:val="1"/>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D92DD3"/>
    <w:multiLevelType w:val="hybridMultilevel"/>
    <w:tmpl w:val="6BA4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65670"/>
    <w:multiLevelType w:val="hybridMultilevel"/>
    <w:tmpl w:val="79703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CA533A"/>
    <w:multiLevelType w:val="hybridMultilevel"/>
    <w:tmpl w:val="530A2F94"/>
    <w:lvl w:ilvl="0" w:tplc="F706693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6760A8"/>
    <w:multiLevelType w:val="hybridMultilevel"/>
    <w:tmpl w:val="325E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EB0751"/>
    <w:multiLevelType w:val="hybridMultilevel"/>
    <w:tmpl w:val="A6E2D536"/>
    <w:lvl w:ilvl="0" w:tplc="9600F5C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F31872"/>
    <w:multiLevelType w:val="hybridMultilevel"/>
    <w:tmpl w:val="F9862F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F310CF"/>
    <w:multiLevelType w:val="hybridMultilevel"/>
    <w:tmpl w:val="5AEED4EA"/>
    <w:lvl w:ilvl="0" w:tplc="AC8AB9D2">
      <w:start w:val="1"/>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6D33FB"/>
    <w:multiLevelType w:val="hybridMultilevel"/>
    <w:tmpl w:val="BCFA5BC6"/>
    <w:lvl w:ilvl="0" w:tplc="403475E6">
      <w:start w:val="1"/>
      <w:numFmt w:val="bullet"/>
      <w:lvlText w:val=""/>
      <w:lvlJc w:val="left"/>
      <w:pPr>
        <w:ind w:left="720" w:hanging="360"/>
      </w:pPr>
      <w:rPr>
        <w:rFonts w:ascii="Symbol" w:hAnsi="Symbol" w:cs="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880E9C"/>
    <w:multiLevelType w:val="hybridMultilevel"/>
    <w:tmpl w:val="6230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8E09DF"/>
    <w:multiLevelType w:val="multilevel"/>
    <w:tmpl w:val="D5FCBE5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4" w15:restartNumberingAfterBreak="0">
    <w:nsid w:val="0C2D5118"/>
    <w:multiLevelType w:val="hybridMultilevel"/>
    <w:tmpl w:val="8DDEFDB2"/>
    <w:lvl w:ilvl="0" w:tplc="04090001">
      <w:start w:val="1"/>
      <w:numFmt w:val="bullet"/>
      <w:lvlText w:val=""/>
      <w:lvlJc w:val="left"/>
      <w:pPr>
        <w:ind w:left="360" w:hanging="360"/>
      </w:pPr>
      <w:rPr>
        <w:rFonts w:ascii="Symbol" w:hAnsi="Symbol" w:hint="default"/>
        <w:color w:val="C45911" w:themeColor="accent2"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7001D64"/>
    <w:multiLevelType w:val="hybridMultilevel"/>
    <w:tmpl w:val="69C0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6874D8"/>
    <w:multiLevelType w:val="hybridMultilevel"/>
    <w:tmpl w:val="9FBEB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91A26AF"/>
    <w:multiLevelType w:val="hybridMultilevel"/>
    <w:tmpl w:val="6928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8276B1"/>
    <w:multiLevelType w:val="hybridMultilevel"/>
    <w:tmpl w:val="87846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105C02"/>
    <w:multiLevelType w:val="hybridMultilevel"/>
    <w:tmpl w:val="198C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BD504B"/>
    <w:multiLevelType w:val="hybridMultilevel"/>
    <w:tmpl w:val="C39A7B76"/>
    <w:lvl w:ilvl="0" w:tplc="C34002BE">
      <w:start w:val="1"/>
      <w:numFmt w:val="bullet"/>
      <w:lvlText w:val=""/>
      <w:lvlJc w:val="left"/>
      <w:pPr>
        <w:ind w:left="360" w:hanging="360"/>
      </w:pPr>
      <w:rPr>
        <w:rFonts w:ascii="Symbol" w:hAnsi="Symbol" w:hint="default"/>
        <w:color w:val="C45911" w:themeColor="accent2"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225413"/>
    <w:multiLevelType w:val="hybridMultilevel"/>
    <w:tmpl w:val="58AC537C"/>
    <w:lvl w:ilvl="0" w:tplc="403475E6">
      <w:start w:val="1"/>
      <w:numFmt w:val="bullet"/>
      <w:lvlText w:val=""/>
      <w:lvlJc w:val="left"/>
      <w:pPr>
        <w:ind w:left="1080" w:hanging="360"/>
      </w:pPr>
      <w:rPr>
        <w:rFonts w:ascii="Symbol" w:hAnsi="Symbol" w:cs="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F78562E"/>
    <w:multiLevelType w:val="hybridMultilevel"/>
    <w:tmpl w:val="BAE44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505473"/>
    <w:multiLevelType w:val="hybridMultilevel"/>
    <w:tmpl w:val="3322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1F1BA2"/>
    <w:multiLevelType w:val="hybridMultilevel"/>
    <w:tmpl w:val="B8F0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B05D04"/>
    <w:multiLevelType w:val="hybridMultilevel"/>
    <w:tmpl w:val="1E3ADB7C"/>
    <w:lvl w:ilvl="0" w:tplc="D51879E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EA3C2A"/>
    <w:multiLevelType w:val="hybridMultilevel"/>
    <w:tmpl w:val="8ADA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A135E5"/>
    <w:multiLevelType w:val="hybridMultilevel"/>
    <w:tmpl w:val="85CA1154"/>
    <w:lvl w:ilvl="0" w:tplc="F3F0BD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C3C67F0"/>
    <w:multiLevelType w:val="hybridMultilevel"/>
    <w:tmpl w:val="7DDC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561A21"/>
    <w:multiLevelType w:val="multilevel"/>
    <w:tmpl w:val="54525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0" w15:restartNumberingAfterBreak="0">
    <w:nsid w:val="4E53001C"/>
    <w:multiLevelType w:val="hybridMultilevel"/>
    <w:tmpl w:val="E422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7271AA"/>
    <w:multiLevelType w:val="hybridMultilevel"/>
    <w:tmpl w:val="9EE40004"/>
    <w:lvl w:ilvl="0" w:tplc="F70669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3F806A1"/>
    <w:multiLevelType w:val="hybridMultilevel"/>
    <w:tmpl w:val="02C23A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B41AE5"/>
    <w:multiLevelType w:val="hybridMultilevel"/>
    <w:tmpl w:val="1AC07968"/>
    <w:lvl w:ilvl="0" w:tplc="04090001">
      <w:start w:val="1"/>
      <w:numFmt w:val="bullet"/>
      <w:lvlText w:val=""/>
      <w:lvlJc w:val="left"/>
      <w:pPr>
        <w:ind w:left="720" w:hanging="360"/>
      </w:pPr>
      <w:rPr>
        <w:rFonts w:ascii="Symbol" w:hAnsi="Symbol" w:hint="default"/>
      </w:rPr>
    </w:lvl>
    <w:lvl w:ilvl="1" w:tplc="86722C0A">
      <w:start w:val="1"/>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7507AE"/>
    <w:multiLevelType w:val="hybridMultilevel"/>
    <w:tmpl w:val="9498234E"/>
    <w:lvl w:ilvl="0" w:tplc="858CEB1E">
      <w:start w:val="1"/>
      <w:numFmt w:val="bullet"/>
      <w:lvlText w:val=""/>
      <w:lvlJc w:val="left"/>
      <w:pPr>
        <w:ind w:left="720" w:hanging="360"/>
      </w:pPr>
      <w:rPr>
        <w:rFonts w:ascii="Wingdings" w:hAnsi="Wingdings"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E4972"/>
    <w:multiLevelType w:val="hybridMultilevel"/>
    <w:tmpl w:val="D6A89954"/>
    <w:lvl w:ilvl="0" w:tplc="94366AE2">
      <w:start w:val="1"/>
      <w:numFmt w:val="bullet"/>
      <w:lvlText w:val="•"/>
      <w:lvlJc w:val="left"/>
      <w:pPr>
        <w:tabs>
          <w:tab w:val="num" w:pos="720"/>
        </w:tabs>
        <w:ind w:left="720" w:hanging="360"/>
      </w:pPr>
      <w:rPr>
        <w:rFonts w:ascii="Times New Roman" w:hAnsi="Times New Roman" w:hint="default"/>
      </w:rPr>
    </w:lvl>
    <w:lvl w:ilvl="1" w:tplc="E79E4AEA" w:tentative="1">
      <w:start w:val="1"/>
      <w:numFmt w:val="bullet"/>
      <w:lvlText w:val="•"/>
      <w:lvlJc w:val="left"/>
      <w:pPr>
        <w:tabs>
          <w:tab w:val="num" w:pos="1440"/>
        </w:tabs>
        <w:ind w:left="1440" w:hanging="360"/>
      </w:pPr>
      <w:rPr>
        <w:rFonts w:ascii="Times New Roman" w:hAnsi="Times New Roman" w:hint="default"/>
      </w:rPr>
    </w:lvl>
    <w:lvl w:ilvl="2" w:tplc="73480800" w:tentative="1">
      <w:start w:val="1"/>
      <w:numFmt w:val="bullet"/>
      <w:lvlText w:val="•"/>
      <w:lvlJc w:val="left"/>
      <w:pPr>
        <w:tabs>
          <w:tab w:val="num" w:pos="2160"/>
        </w:tabs>
        <w:ind w:left="2160" w:hanging="360"/>
      </w:pPr>
      <w:rPr>
        <w:rFonts w:ascii="Times New Roman" w:hAnsi="Times New Roman" w:hint="default"/>
      </w:rPr>
    </w:lvl>
    <w:lvl w:ilvl="3" w:tplc="2278A3F6" w:tentative="1">
      <w:start w:val="1"/>
      <w:numFmt w:val="bullet"/>
      <w:lvlText w:val="•"/>
      <w:lvlJc w:val="left"/>
      <w:pPr>
        <w:tabs>
          <w:tab w:val="num" w:pos="2880"/>
        </w:tabs>
        <w:ind w:left="2880" w:hanging="360"/>
      </w:pPr>
      <w:rPr>
        <w:rFonts w:ascii="Times New Roman" w:hAnsi="Times New Roman" w:hint="default"/>
      </w:rPr>
    </w:lvl>
    <w:lvl w:ilvl="4" w:tplc="BC6E4974" w:tentative="1">
      <w:start w:val="1"/>
      <w:numFmt w:val="bullet"/>
      <w:lvlText w:val="•"/>
      <w:lvlJc w:val="left"/>
      <w:pPr>
        <w:tabs>
          <w:tab w:val="num" w:pos="3600"/>
        </w:tabs>
        <w:ind w:left="3600" w:hanging="360"/>
      </w:pPr>
      <w:rPr>
        <w:rFonts w:ascii="Times New Roman" w:hAnsi="Times New Roman" w:hint="default"/>
      </w:rPr>
    </w:lvl>
    <w:lvl w:ilvl="5" w:tplc="5C64E842" w:tentative="1">
      <w:start w:val="1"/>
      <w:numFmt w:val="bullet"/>
      <w:lvlText w:val="•"/>
      <w:lvlJc w:val="left"/>
      <w:pPr>
        <w:tabs>
          <w:tab w:val="num" w:pos="4320"/>
        </w:tabs>
        <w:ind w:left="4320" w:hanging="360"/>
      </w:pPr>
      <w:rPr>
        <w:rFonts w:ascii="Times New Roman" w:hAnsi="Times New Roman" w:hint="default"/>
      </w:rPr>
    </w:lvl>
    <w:lvl w:ilvl="6" w:tplc="D3C02B04" w:tentative="1">
      <w:start w:val="1"/>
      <w:numFmt w:val="bullet"/>
      <w:lvlText w:val="•"/>
      <w:lvlJc w:val="left"/>
      <w:pPr>
        <w:tabs>
          <w:tab w:val="num" w:pos="5040"/>
        </w:tabs>
        <w:ind w:left="5040" w:hanging="360"/>
      </w:pPr>
      <w:rPr>
        <w:rFonts w:ascii="Times New Roman" w:hAnsi="Times New Roman" w:hint="default"/>
      </w:rPr>
    </w:lvl>
    <w:lvl w:ilvl="7" w:tplc="AD529872" w:tentative="1">
      <w:start w:val="1"/>
      <w:numFmt w:val="bullet"/>
      <w:lvlText w:val="•"/>
      <w:lvlJc w:val="left"/>
      <w:pPr>
        <w:tabs>
          <w:tab w:val="num" w:pos="5760"/>
        </w:tabs>
        <w:ind w:left="5760" w:hanging="360"/>
      </w:pPr>
      <w:rPr>
        <w:rFonts w:ascii="Times New Roman" w:hAnsi="Times New Roman" w:hint="default"/>
      </w:rPr>
    </w:lvl>
    <w:lvl w:ilvl="8" w:tplc="DCA2D34A"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EF57930"/>
    <w:multiLevelType w:val="hybridMultilevel"/>
    <w:tmpl w:val="1BA01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CB2E10"/>
    <w:multiLevelType w:val="hybridMultilevel"/>
    <w:tmpl w:val="AF6C583A"/>
    <w:lvl w:ilvl="0" w:tplc="3092D6F0">
      <w:start w:val="1"/>
      <w:numFmt w:val="bullet"/>
      <w:lvlText w:val="•"/>
      <w:lvlJc w:val="left"/>
      <w:pPr>
        <w:tabs>
          <w:tab w:val="num" w:pos="720"/>
        </w:tabs>
        <w:ind w:left="720" w:hanging="360"/>
      </w:pPr>
      <w:rPr>
        <w:rFonts w:ascii="Times New Roman" w:hAnsi="Times New Roman" w:hint="default"/>
      </w:rPr>
    </w:lvl>
    <w:lvl w:ilvl="1" w:tplc="3210F25E" w:tentative="1">
      <w:start w:val="1"/>
      <w:numFmt w:val="bullet"/>
      <w:lvlText w:val="•"/>
      <w:lvlJc w:val="left"/>
      <w:pPr>
        <w:tabs>
          <w:tab w:val="num" w:pos="1440"/>
        </w:tabs>
        <w:ind w:left="1440" w:hanging="360"/>
      </w:pPr>
      <w:rPr>
        <w:rFonts w:ascii="Times New Roman" w:hAnsi="Times New Roman" w:hint="default"/>
      </w:rPr>
    </w:lvl>
    <w:lvl w:ilvl="2" w:tplc="C1FC67AA" w:tentative="1">
      <w:start w:val="1"/>
      <w:numFmt w:val="bullet"/>
      <w:lvlText w:val="•"/>
      <w:lvlJc w:val="left"/>
      <w:pPr>
        <w:tabs>
          <w:tab w:val="num" w:pos="2160"/>
        </w:tabs>
        <w:ind w:left="2160" w:hanging="360"/>
      </w:pPr>
      <w:rPr>
        <w:rFonts w:ascii="Times New Roman" w:hAnsi="Times New Roman" w:hint="default"/>
      </w:rPr>
    </w:lvl>
    <w:lvl w:ilvl="3" w:tplc="55726404" w:tentative="1">
      <w:start w:val="1"/>
      <w:numFmt w:val="bullet"/>
      <w:lvlText w:val="•"/>
      <w:lvlJc w:val="left"/>
      <w:pPr>
        <w:tabs>
          <w:tab w:val="num" w:pos="2880"/>
        </w:tabs>
        <w:ind w:left="2880" w:hanging="360"/>
      </w:pPr>
      <w:rPr>
        <w:rFonts w:ascii="Times New Roman" w:hAnsi="Times New Roman" w:hint="default"/>
      </w:rPr>
    </w:lvl>
    <w:lvl w:ilvl="4" w:tplc="5D20F886" w:tentative="1">
      <w:start w:val="1"/>
      <w:numFmt w:val="bullet"/>
      <w:lvlText w:val="•"/>
      <w:lvlJc w:val="left"/>
      <w:pPr>
        <w:tabs>
          <w:tab w:val="num" w:pos="3600"/>
        </w:tabs>
        <w:ind w:left="3600" w:hanging="360"/>
      </w:pPr>
      <w:rPr>
        <w:rFonts w:ascii="Times New Roman" w:hAnsi="Times New Roman" w:hint="default"/>
      </w:rPr>
    </w:lvl>
    <w:lvl w:ilvl="5" w:tplc="B704B882" w:tentative="1">
      <w:start w:val="1"/>
      <w:numFmt w:val="bullet"/>
      <w:lvlText w:val="•"/>
      <w:lvlJc w:val="left"/>
      <w:pPr>
        <w:tabs>
          <w:tab w:val="num" w:pos="4320"/>
        </w:tabs>
        <w:ind w:left="4320" w:hanging="360"/>
      </w:pPr>
      <w:rPr>
        <w:rFonts w:ascii="Times New Roman" w:hAnsi="Times New Roman" w:hint="default"/>
      </w:rPr>
    </w:lvl>
    <w:lvl w:ilvl="6" w:tplc="02CEDFF8" w:tentative="1">
      <w:start w:val="1"/>
      <w:numFmt w:val="bullet"/>
      <w:lvlText w:val="•"/>
      <w:lvlJc w:val="left"/>
      <w:pPr>
        <w:tabs>
          <w:tab w:val="num" w:pos="5040"/>
        </w:tabs>
        <w:ind w:left="5040" w:hanging="360"/>
      </w:pPr>
      <w:rPr>
        <w:rFonts w:ascii="Times New Roman" w:hAnsi="Times New Roman" w:hint="default"/>
      </w:rPr>
    </w:lvl>
    <w:lvl w:ilvl="7" w:tplc="CB064368" w:tentative="1">
      <w:start w:val="1"/>
      <w:numFmt w:val="bullet"/>
      <w:lvlText w:val="•"/>
      <w:lvlJc w:val="left"/>
      <w:pPr>
        <w:tabs>
          <w:tab w:val="num" w:pos="5760"/>
        </w:tabs>
        <w:ind w:left="5760" w:hanging="360"/>
      </w:pPr>
      <w:rPr>
        <w:rFonts w:ascii="Times New Roman" w:hAnsi="Times New Roman" w:hint="default"/>
      </w:rPr>
    </w:lvl>
    <w:lvl w:ilvl="8" w:tplc="7FECECDC"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69C111E"/>
    <w:multiLevelType w:val="hybridMultilevel"/>
    <w:tmpl w:val="A35CA326"/>
    <w:lvl w:ilvl="0" w:tplc="F3F0BD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9076737"/>
    <w:multiLevelType w:val="hybridMultilevel"/>
    <w:tmpl w:val="05C80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32"/>
  </w:num>
  <w:num w:numId="4">
    <w:abstractNumId w:val="10"/>
  </w:num>
  <w:num w:numId="5">
    <w:abstractNumId w:val="13"/>
  </w:num>
  <w:num w:numId="6">
    <w:abstractNumId w:val="29"/>
  </w:num>
  <w:num w:numId="7">
    <w:abstractNumId w:val="7"/>
  </w:num>
  <w:num w:numId="8">
    <w:abstractNumId w:val="33"/>
  </w:num>
  <w:num w:numId="9">
    <w:abstractNumId w:val="36"/>
  </w:num>
  <w:num w:numId="10">
    <w:abstractNumId w:val="9"/>
  </w:num>
  <w:num w:numId="11">
    <w:abstractNumId w:val="3"/>
  </w:num>
  <w:num w:numId="12">
    <w:abstractNumId w:val="1"/>
  </w:num>
  <w:num w:numId="13">
    <w:abstractNumId w:val="27"/>
  </w:num>
  <w:num w:numId="14">
    <w:abstractNumId w:val="38"/>
  </w:num>
  <w:num w:numId="15">
    <w:abstractNumId w:val="37"/>
  </w:num>
  <w:num w:numId="16">
    <w:abstractNumId w:val="35"/>
  </w:num>
  <w:num w:numId="17">
    <w:abstractNumId w:val="2"/>
  </w:num>
  <w:num w:numId="18">
    <w:abstractNumId w:val="11"/>
  </w:num>
  <w:num w:numId="19">
    <w:abstractNumId w:val="15"/>
  </w:num>
  <w:num w:numId="20">
    <w:abstractNumId w:val="21"/>
  </w:num>
  <w:num w:numId="21">
    <w:abstractNumId w:val="31"/>
  </w:num>
  <w:num w:numId="22">
    <w:abstractNumId w:val="6"/>
  </w:num>
  <w:num w:numId="23">
    <w:abstractNumId w:val="0"/>
  </w:num>
  <w:num w:numId="24">
    <w:abstractNumId w:val="34"/>
  </w:num>
  <w:num w:numId="25">
    <w:abstractNumId w:val="14"/>
  </w:num>
  <w:num w:numId="26">
    <w:abstractNumId w:val="20"/>
  </w:num>
  <w:num w:numId="27">
    <w:abstractNumId w:val="24"/>
  </w:num>
  <w:num w:numId="28">
    <w:abstractNumId w:val="16"/>
  </w:num>
  <w:num w:numId="29">
    <w:abstractNumId w:val="22"/>
  </w:num>
  <w:num w:numId="30">
    <w:abstractNumId w:val="39"/>
  </w:num>
  <w:num w:numId="31">
    <w:abstractNumId w:val="23"/>
  </w:num>
  <w:num w:numId="32">
    <w:abstractNumId w:val="26"/>
  </w:num>
  <w:num w:numId="33">
    <w:abstractNumId w:val="12"/>
  </w:num>
  <w:num w:numId="34">
    <w:abstractNumId w:val="19"/>
  </w:num>
  <w:num w:numId="35">
    <w:abstractNumId w:val="28"/>
  </w:num>
  <w:num w:numId="36">
    <w:abstractNumId w:val="30"/>
  </w:num>
  <w:num w:numId="37">
    <w:abstractNumId w:val="18"/>
  </w:num>
  <w:num w:numId="38">
    <w:abstractNumId w:val="17"/>
  </w:num>
  <w:num w:numId="39">
    <w:abstractNumId w:val="5"/>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xNLc0MDMyNzE3NTNV0lEKTi0uzszPAykwrAUA9POnvSwAAAA="/>
  </w:docVars>
  <w:rsids>
    <w:rsidRoot w:val="0093066F"/>
    <w:rsid w:val="0000312E"/>
    <w:rsid w:val="0000350F"/>
    <w:rsid w:val="00007493"/>
    <w:rsid w:val="0001123F"/>
    <w:rsid w:val="000205C4"/>
    <w:rsid w:val="000220D9"/>
    <w:rsid w:val="00022AEB"/>
    <w:rsid w:val="00030A2E"/>
    <w:rsid w:val="00030C53"/>
    <w:rsid w:val="00031438"/>
    <w:rsid w:val="000351B4"/>
    <w:rsid w:val="00040784"/>
    <w:rsid w:val="00042BB9"/>
    <w:rsid w:val="00044CAC"/>
    <w:rsid w:val="00050B71"/>
    <w:rsid w:val="00050F50"/>
    <w:rsid w:val="0005165B"/>
    <w:rsid w:val="000537EC"/>
    <w:rsid w:val="00053A42"/>
    <w:rsid w:val="00066A1B"/>
    <w:rsid w:val="00072CDC"/>
    <w:rsid w:val="000768ED"/>
    <w:rsid w:val="00076AA1"/>
    <w:rsid w:val="000775A0"/>
    <w:rsid w:val="00077FC2"/>
    <w:rsid w:val="00080621"/>
    <w:rsid w:val="00081505"/>
    <w:rsid w:val="00082B44"/>
    <w:rsid w:val="00090E8C"/>
    <w:rsid w:val="000916D0"/>
    <w:rsid w:val="00091A1B"/>
    <w:rsid w:val="00095F5D"/>
    <w:rsid w:val="000A246B"/>
    <w:rsid w:val="000A6993"/>
    <w:rsid w:val="000A6CCF"/>
    <w:rsid w:val="000B0780"/>
    <w:rsid w:val="000B3791"/>
    <w:rsid w:val="000B5A03"/>
    <w:rsid w:val="000C0B5D"/>
    <w:rsid w:val="000C5315"/>
    <w:rsid w:val="000C6217"/>
    <w:rsid w:val="000D1CBA"/>
    <w:rsid w:val="000D3D32"/>
    <w:rsid w:val="000D6392"/>
    <w:rsid w:val="000D7815"/>
    <w:rsid w:val="000E0612"/>
    <w:rsid w:val="000E284E"/>
    <w:rsid w:val="000F31CF"/>
    <w:rsid w:val="000F34BB"/>
    <w:rsid w:val="000F64BD"/>
    <w:rsid w:val="000F6CEC"/>
    <w:rsid w:val="000F70CA"/>
    <w:rsid w:val="00100A4A"/>
    <w:rsid w:val="00100B6A"/>
    <w:rsid w:val="00102A60"/>
    <w:rsid w:val="0010437A"/>
    <w:rsid w:val="00104529"/>
    <w:rsid w:val="00104962"/>
    <w:rsid w:val="00105ECA"/>
    <w:rsid w:val="00114ED7"/>
    <w:rsid w:val="00115048"/>
    <w:rsid w:val="00116334"/>
    <w:rsid w:val="001174C5"/>
    <w:rsid w:val="00121C1A"/>
    <w:rsid w:val="00122E23"/>
    <w:rsid w:val="00122E4A"/>
    <w:rsid w:val="0012440F"/>
    <w:rsid w:val="001266C8"/>
    <w:rsid w:val="0013058A"/>
    <w:rsid w:val="0013123C"/>
    <w:rsid w:val="00132682"/>
    <w:rsid w:val="00132B1E"/>
    <w:rsid w:val="0013417C"/>
    <w:rsid w:val="001373D8"/>
    <w:rsid w:val="00142C5E"/>
    <w:rsid w:val="0014457D"/>
    <w:rsid w:val="001460C1"/>
    <w:rsid w:val="00146849"/>
    <w:rsid w:val="00150D27"/>
    <w:rsid w:val="00150DC3"/>
    <w:rsid w:val="0015673D"/>
    <w:rsid w:val="0016086D"/>
    <w:rsid w:val="00164836"/>
    <w:rsid w:val="00172C41"/>
    <w:rsid w:val="001803E3"/>
    <w:rsid w:val="00181127"/>
    <w:rsid w:val="001817BB"/>
    <w:rsid w:val="00182041"/>
    <w:rsid w:val="0019766E"/>
    <w:rsid w:val="001A55A0"/>
    <w:rsid w:val="001A65A7"/>
    <w:rsid w:val="001A76F0"/>
    <w:rsid w:val="001B1F36"/>
    <w:rsid w:val="001B42EE"/>
    <w:rsid w:val="001B6B19"/>
    <w:rsid w:val="001B7CD4"/>
    <w:rsid w:val="001C0771"/>
    <w:rsid w:val="001C4709"/>
    <w:rsid w:val="001D0378"/>
    <w:rsid w:val="001D0EDC"/>
    <w:rsid w:val="001E46BD"/>
    <w:rsid w:val="001E5F64"/>
    <w:rsid w:val="001F1519"/>
    <w:rsid w:val="001F30CF"/>
    <w:rsid w:val="001F3378"/>
    <w:rsid w:val="001F4029"/>
    <w:rsid w:val="002007F8"/>
    <w:rsid w:val="00206669"/>
    <w:rsid w:val="00206885"/>
    <w:rsid w:val="0021266F"/>
    <w:rsid w:val="002176D9"/>
    <w:rsid w:val="0022148B"/>
    <w:rsid w:val="00222114"/>
    <w:rsid w:val="00223940"/>
    <w:rsid w:val="002247AC"/>
    <w:rsid w:val="00225740"/>
    <w:rsid w:val="00230A2D"/>
    <w:rsid w:val="00230D1E"/>
    <w:rsid w:val="00233262"/>
    <w:rsid w:val="00233EF8"/>
    <w:rsid w:val="00234FE6"/>
    <w:rsid w:val="00236A8C"/>
    <w:rsid w:val="00237C39"/>
    <w:rsid w:val="0024107F"/>
    <w:rsid w:val="002416C1"/>
    <w:rsid w:val="00244E83"/>
    <w:rsid w:val="00245A19"/>
    <w:rsid w:val="00245FCA"/>
    <w:rsid w:val="00255349"/>
    <w:rsid w:val="00256DC2"/>
    <w:rsid w:val="00272DF0"/>
    <w:rsid w:val="00273315"/>
    <w:rsid w:val="0027525E"/>
    <w:rsid w:val="0028056E"/>
    <w:rsid w:val="0028157A"/>
    <w:rsid w:val="00283620"/>
    <w:rsid w:val="00285E26"/>
    <w:rsid w:val="00287A53"/>
    <w:rsid w:val="00292604"/>
    <w:rsid w:val="00294553"/>
    <w:rsid w:val="002952CE"/>
    <w:rsid w:val="002A3641"/>
    <w:rsid w:val="002A5009"/>
    <w:rsid w:val="002A562B"/>
    <w:rsid w:val="002A5DF1"/>
    <w:rsid w:val="002A7CF6"/>
    <w:rsid w:val="002B0B41"/>
    <w:rsid w:val="002B225A"/>
    <w:rsid w:val="002B321F"/>
    <w:rsid w:val="002B3625"/>
    <w:rsid w:val="002B430B"/>
    <w:rsid w:val="002B6BB8"/>
    <w:rsid w:val="002B79B7"/>
    <w:rsid w:val="002C1F93"/>
    <w:rsid w:val="002C36DC"/>
    <w:rsid w:val="002C46B0"/>
    <w:rsid w:val="002D008A"/>
    <w:rsid w:val="002D4872"/>
    <w:rsid w:val="002D5965"/>
    <w:rsid w:val="002D6782"/>
    <w:rsid w:val="002D7922"/>
    <w:rsid w:val="002E1384"/>
    <w:rsid w:val="002E163C"/>
    <w:rsid w:val="002F0840"/>
    <w:rsid w:val="002F1858"/>
    <w:rsid w:val="002F5250"/>
    <w:rsid w:val="002F52C8"/>
    <w:rsid w:val="002F6F03"/>
    <w:rsid w:val="00302BAE"/>
    <w:rsid w:val="0030335C"/>
    <w:rsid w:val="003075EA"/>
    <w:rsid w:val="00307B18"/>
    <w:rsid w:val="00310C30"/>
    <w:rsid w:val="00315A47"/>
    <w:rsid w:val="00317D79"/>
    <w:rsid w:val="0033759F"/>
    <w:rsid w:val="003523FC"/>
    <w:rsid w:val="003550C8"/>
    <w:rsid w:val="00363783"/>
    <w:rsid w:val="00367757"/>
    <w:rsid w:val="00391134"/>
    <w:rsid w:val="003A0DCC"/>
    <w:rsid w:val="003A2EB7"/>
    <w:rsid w:val="003A583C"/>
    <w:rsid w:val="003B7360"/>
    <w:rsid w:val="003C037C"/>
    <w:rsid w:val="003C08E9"/>
    <w:rsid w:val="003C1231"/>
    <w:rsid w:val="003C37D3"/>
    <w:rsid w:val="003C558C"/>
    <w:rsid w:val="003C6343"/>
    <w:rsid w:val="003C7A52"/>
    <w:rsid w:val="003D0BBB"/>
    <w:rsid w:val="003D3234"/>
    <w:rsid w:val="003D3669"/>
    <w:rsid w:val="003D7CAB"/>
    <w:rsid w:val="003D7DCE"/>
    <w:rsid w:val="003E4710"/>
    <w:rsid w:val="003E5B5A"/>
    <w:rsid w:val="003F11EE"/>
    <w:rsid w:val="003F4927"/>
    <w:rsid w:val="004002FD"/>
    <w:rsid w:val="0040053F"/>
    <w:rsid w:val="0040186F"/>
    <w:rsid w:val="00404874"/>
    <w:rsid w:val="004053E3"/>
    <w:rsid w:val="0041108B"/>
    <w:rsid w:val="00414BEB"/>
    <w:rsid w:val="00415553"/>
    <w:rsid w:val="00416083"/>
    <w:rsid w:val="00416234"/>
    <w:rsid w:val="00417774"/>
    <w:rsid w:val="0042019B"/>
    <w:rsid w:val="004214D1"/>
    <w:rsid w:val="0042291A"/>
    <w:rsid w:val="004316BB"/>
    <w:rsid w:val="004328BA"/>
    <w:rsid w:val="004340CE"/>
    <w:rsid w:val="00443748"/>
    <w:rsid w:val="00445E86"/>
    <w:rsid w:val="0045102F"/>
    <w:rsid w:val="00451238"/>
    <w:rsid w:val="00451E30"/>
    <w:rsid w:val="00466B41"/>
    <w:rsid w:val="00466E02"/>
    <w:rsid w:val="00470D05"/>
    <w:rsid w:val="00471FD3"/>
    <w:rsid w:val="00473365"/>
    <w:rsid w:val="00474FDD"/>
    <w:rsid w:val="00481CC1"/>
    <w:rsid w:val="00481D04"/>
    <w:rsid w:val="00482A35"/>
    <w:rsid w:val="00483AAF"/>
    <w:rsid w:val="00487BBB"/>
    <w:rsid w:val="004945E0"/>
    <w:rsid w:val="004945E1"/>
    <w:rsid w:val="0049610F"/>
    <w:rsid w:val="004A297C"/>
    <w:rsid w:val="004A5032"/>
    <w:rsid w:val="004B1CC8"/>
    <w:rsid w:val="004B4529"/>
    <w:rsid w:val="004B6EE9"/>
    <w:rsid w:val="004C11D5"/>
    <w:rsid w:val="004C197A"/>
    <w:rsid w:val="004C4CD6"/>
    <w:rsid w:val="004D0AF0"/>
    <w:rsid w:val="004D0F7F"/>
    <w:rsid w:val="004D20E4"/>
    <w:rsid w:val="004D26EC"/>
    <w:rsid w:val="004D2D65"/>
    <w:rsid w:val="004E1845"/>
    <w:rsid w:val="004E5302"/>
    <w:rsid w:val="004F1C90"/>
    <w:rsid w:val="004F3048"/>
    <w:rsid w:val="00502D1C"/>
    <w:rsid w:val="00505555"/>
    <w:rsid w:val="00506CC9"/>
    <w:rsid w:val="0051197C"/>
    <w:rsid w:val="0051286F"/>
    <w:rsid w:val="00517628"/>
    <w:rsid w:val="005178E3"/>
    <w:rsid w:val="00527A92"/>
    <w:rsid w:val="00530200"/>
    <w:rsid w:val="00532DDC"/>
    <w:rsid w:val="00534986"/>
    <w:rsid w:val="005351D4"/>
    <w:rsid w:val="0054565E"/>
    <w:rsid w:val="005467A5"/>
    <w:rsid w:val="00550C31"/>
    <w:rsid w:val="00551416"/>
    <w:rsid w:val="00552024"/>
    <w:rsid w:val="00555BED"/>
    <w:rsid w:val="00560174"/>
    <w:rsid w:val="00561457"/>
    <w:rsid w:val="00561A8E"/>
    <w:rsid w:val="005634D1"/>
    <w:rsid w:val="00571B8D"/>
    <w:rsid w:val="00574362"/>
    <w:rsid w:val="00576791"/>
    <w:rsid w:val="00577FE6"/>
    <w:rsid w:val="00581C49"/>
    <w:rsid w:val="00592A88"/>
    <w:rsid w:val="005938E5"/>
    <w:rsid w:val="005A21A9"/>
    <w:rsid w:val="005A283B"/>
    <w:rsid w:val="005B07EA"/>
    <w:rsid w:val="005C0E61"/>
    <w:rsid w:val="005C1529"/>
    <w:rsid w:val="005C4152"/>
    <w:rsid w:val="005C5877"/>
    <w:rsid w:val="005D34C3"/>
    <w:rsid w:val="005D61A2"/>
    <w:rsid w:val="005D706F"/>
    <w:rsid w:val="005E1882"/>
    <w:rsid w:val="005E429B"/>
    <w:rsid w:val="005F28CC"/>
    <w:rsid w:val="005F5049"/>
    <w:rsid w:val="005F6680"/>
    <w:rsid w:val="006004D7"/>
    <w:rsid w:val="00605C2C"/>
    <w:rsid w:val="00610280"/>
    <w:rsid w:val="00613182"/>
    <w:rsid w:val="00614809"/>
    <w:rsid w:val="00615FEF"/>
    <w:rsid w:val="00617D6A"/>
    <w:rsid w:val="0063166F"/>
    <w:rsid w:val="00631866"/>
    <w:rsid w:val="00632CD6"/>
    <w:rsid w:val="0064289D"/>
    <w:rsid w:val="00643237"/>
    <w:rsid w:val="00644E35"/>
    <w:rsid w:val="00647014"/>
    <w:rsid w:val="00652BC3"/>
    <w:rsid w:val="006530EF"/>
    <w:rsid w:val="00656EF3"/>
    <w:rsid w:val="00664B60"/>
    <w:rsid w:val="00667F33"/>
    <w:rsid w:val="0067219C"/>
    <w:rsid w:val="006752AB"/>
    <w:rsid w:val="006843F0"/>
    <w:rsid w:val="00685824"/>
    <w:rsid w:val="0069471E"/>
    <w:rsid w:val="006A11F2"/>
    <w:rsid w:val="006A389E"/>
    <w:rsid w:val="006A7A14"/>
    <w:rsid w:val="006B0335"/>
    <w:rsid w:val="006B13C1"/>
    <w:rsid w:val="006B23CD"/>
    <w:rsid w:val="006B3F58"/>
    <w:rsid w:val="006B65FB"/>
    <w:rsid w:val="006B671E"/>
    <w:rsid w:val="006B7C5F"/>
    <w:rsid w:val="006C0B5E"/>
    <w:rsid w:val="006C4489"/>
    <w:rsid w:val="006C45A0"/>
    <w:rsid w:val="006C6F8D"/>
    <w:rsid w:val="006D553B"/>
    <w:rsid w:val="006D5D8B"/>
    <w:rsid w:val="006D75FC"/>
    <w:rsid w:val="006E0D95"/>
    <w:rsid w:val="006E2A36"/>
    <w:rsid w:val="006E5FE5"/>
    <w:rsid w:val="006F16FB"/>
    <w:rsid w:val="006F1EAD"/>
    <w:rsid w:val="006F224D"/>
    <w:rsid w:val="006F5BEA"/>
    <w:rsid w:val="006F72D3"/>
    <w:rsid w:val="00701D76"/>
    <w:rsid w:val="00707492"/>
    <w:rsid w:val="007076DA"/>
    <w:rsid w:val="00707D72"/>
    <w:rsid w:val="00712B35"/>
    <w:rsid w:val="00712E35"/>
    <w:rsid w:val="0071363C"/>
    <w:rsid w:val="0072172A"/>
    <w:rsid w:val="0072315C"/>
    <w:rsid w:val="00726959"/>
    <w:rsid w:val="00726CEB"/>
    <w:rsid w:val="007271AD"/>
    <w:rsid w:val="00727BF5"/>
    <w:rsid w:val="00741A82"/>
    <w:rsid w:val="0074201A"/>
    <w:rsid w:val="00744749"/>
    <w:rsid w:val="0075415D"/>
    <w:rsid w:val="00755906"/>
    <w:rsid w:val="00755B23"/>
    <w:rsid w:val="007621D9"/>
    <w:rsid w:val="007641FB"/>
    <w:rsid w:val="00766A1D"/>
    <w:rsid w:val="007714BC"/>
    <w:rsid w:val="00774E5F"/>
    <w:rsid w:val="00784583"/>
    <w:rsid w:val="00787D2D"/>
    <w:rsid w:val="0079541F"/>
    <w:rsid w:val="007A20DB"/>
    <w:rsid w:val="007A3448"/>
    <w:rsid w:val="007A5FFB"/>
    <w:rsid w:val="007A6749"/>
    <w:rsid w:val="007A6782"/>
    <w:rsid w:val="007B1620"/>
    <w:rsid w:val="007B1943"/>
    <w:rsid w:val="007B2E6D"/>
    <w:rsid w:val="007C4BCE"/>
    <w:rsid w:val="007C528C"/>
    <w:rsid w:val="007C7D5B"/>
    <w:rsid w:val="007D3364"/>
    <w:rsid w:val="007E7756"/>
    <w:rsid w:val="007E7787"/>
    <w:rsid w:val="007F0A80"/>
    <w:rsid w:val="007F47CB"/>
    <w:rsid w:val="007F7DBF"/>
    <w:rsid w:val="008004F3"/>
    <w:rsid w:val="00800887"/>
    <w:rsid w:val="00802142"/>
    <w:rsid w:val="008022C8"/>
    <w:rsid w:val="00807C99"/>
    <w:rsid w:val="00816C4A"/>
    <w:rsid w:val="00823689"/>
    <w:rsid w:val="00824EC1"/>
    <w:rsid w:val="00826201"/>
    <w:rsid w:val="00832542"/>
    <w:rsid w:val="008328DD"/>
    <w:rsid w:val="0083365F"/>
    <w:rsid w:val="008342F9"/>
    <w:rsid w:val="00835CBE"/>
    <w:rsid w:val="00840A62"/>
    <w:rsid w:val="00841631"/>
    <w:rsid w:val="008420D1"/>
    <w:rsid w:val="008443CC"/>
    <w:rsid w:val="00844A6A"/>
    <w:rsid w:val="0084685E"/>
    <w:rsid w:val="00851D0C"/>
    <w:rsid w:val="00855BFF"/>
    <w:rsid w:val="0086516A"/>
    <w:rsid w:val="00867552"/>
    <w:rsid w:val="00867B1A"/>
    <w:rsid w:val="0087033B"/>
    <w:rsid w:val="008735F5"/>
    <w:rsid w:val="00874F32"/>
    <w:rsid w:val="008758B7"/>
    <w:rsid w:val="00880937"/>
    <w:rsid w:val="008864E3"/>
    <w:rsid w:val="00887DE1"/>
    <w:rsid w:val="00890ACE"/>
    <w:rsid w:val="00891803"/>
    <w:rsid w:val="008937C3"/>
    <w:rsid w:val="0089449A"/>
    <w:rsid w:val="00897B2A"/>
    <w:rsid w:val="008A4517"/>
    <w:rsid w:val="008A7B9E"/>
    <w:rsid w:val="008B085E"/>
    <w:rsid w:val="008B1F9D"/>
    <w:rsid w:val="008C1D87"/>
    <w:rsid w:val="008C3ACF"/>
    <w:rsid w:val="008C40F7"/>
    <w:rsid w:val="008C58A6"/>
    <w:rsid w:val="008D11A9"/>
    <w:rsid w:val="008D384F"/>
    <w:rsid w:val="008E06BC"/>
    <w:rsid w:val="008E4A07"/>
    <w:rsid w:val="008E51D3"/>
    <w:rsid w:val="008E6278"/>
    <w:rsid w:val="008E7274"/>
    <w:rsid w:val="008F6EAF"/>
    <w:rsid w:val="008F7745"/>
    <w:rsid w:val="00901AB7"/>
    <w:rsid w:val="0090617F"/>
    <w:rsid w:val="00906BC0"/>
    <w:rsid w:val="00911AE1"/>
    <w:rsid w:val="00914FCB"/>
    <w:rsid w:val="00916929"/>
    <w:rsid w:val="00922B85"/>
    <w:rsid w:val="00923289"/>
    <w:rsid w:val="0092739D"/>
    <w:rsid w:val="0093066F"/>
    <w:rsid w:val="009327C5"/>
    <w:rsid w:val="0093394D"/>
    <w:rsid w:val="009342A2"/>
    <w:rsid w:val="00941BFA"/>
    <w:rsid w:val="009443C5"/>
    <w:rsid w:val="00944ACF"/>
    <w:rsid w:val="00947DA4"/>
    <w:rsid w:val="00947ED9"/>
    <w:rsid w:val="00950948"/>
    <w:rsid w:val="00951940"/>
    <w:rsid w:val="00952B40"/>
    <w:rsid w:val="00955763"/>
    <w:rsid w:val="00957541"/>
    <w:rsid w:val="00962090"/>
    <w:rsid w:val="0096272E"/>
    <w:rsid w:val="009634FB"/>
    <w:rsid w:val="00966DFF"/>
    <w:rsid w:val="00970893"/>
    <w:rsid w:val="00971F00"/>
    <w:rsid w:val="00972A46"/>
    <w:rsid w:val="0097758F"/>
    <w:rsid w:val="0098068E"/>
    <w:rsid w:val="009839D1"/>
    <w:rsid w:val="00986649"/>
    <w:rsid w:val="00986FFB"/>
    <w:rsid w:val="009874A4"/>
    <w:rsid w:val="009875E3"/>
    <w:rsid w:val="00991C6E"/>
    <w:rsid w:val="00993E5C"/>
    <w:rsid w:val="00993E67"/>
    <w:rsid w:val="009941B5"/>
    <w:rsid w:val="00994BCE"/>
    <w:rsid w:val="00995B61"/>
    <w:rsid w:val="00997A70"/>
    <w:rsid w:val="00997E39"/>
    <w:rsid w:val="009A4FBB"/>
    <w:rsid w:val="009A5074"/>
    <w:rsid w:val="009A69C2"/>
    <w:rsid w:val="009B192E"/>
    <w:rsid w:val="009B435C"/>
    <w:rsid w:val="009B5831"/>
    <w:rsid w:val="009B61C0"/>
    <w:rsid w:val="009B62E3"/>
    <w:rsid w:val="009B6558"/>
    <w:rsid w:val="009C0CB7"/>
    <w:rsid w:val="009C18C1"/>
    <w:rsid w:val="009C21D7"/>
    <w:rsid w:val="009C5AF5"/>
    <w:rsid w:val="009C62B1"/>
    <w:rsid w:val="009C67B2"/>
    <w:rsid w:val="009C6917"/>
    <w:rsid w:val="009D0C23"/>
    <w:rsid w:val="009D28D4"/>
    <w:rsid w:val="009D68C0"/>
    <w:rsid w:val="009E03C2"/>
    <w:rsid w:val="009E2C4A"/>
    <w:rsid w:val="009F072E"/>
    <w:rsid w:val="009F0F4D"/>
    <w:rsid w:val="009F196C"/>
    <w:rsid w:val="009F31FD"/>
    <w:rsid w:val="00A034A8"/>
    <w:rsid w:val="00A055BF"/>
    <w:rsid w:val="00A12EB3"/>
    <w:rsid w:val="00A13B63"/>
    <w:rsid w:val="00A24337"/>
    <w:rsid w:val="00A24B23"/>
    <w:rsid w:val="00A31738"/>
    <w:rsid w:val="00A40869"/>
    <w:rsid w:val="00A42C16"/>
    <w:rsid w:val="00A43E32"/>
    <w:rsid w:val="00A46413"/>
    <w:rsid w:val="00A507CD"/>
    <w:rsid w:val="00A51A87"/>
    <w:rsid w:val="00A60323"/>
    <w:rsid w:val="00A64DB4"/>
    <w:rsid w:val="00A70FA6"/>
    <w:rsid w:val="00A71B78"/>
    <w:rsid w:val="00A824BC"/>
    <w:rsid w:val="00A85641"/>
    <w:rsid w:val="00A85E72"/>
    <w:rsid w:val="00A86108"/>
    <w:rsid w:val="00A94C63"/>
    <w:rsid w:val="00AA2062"/>
    <w:rsid w:val="00AB1316"/>
    <w:rsid w:val="00AB53D6"/>
    <w:rsid w:val="00AB64D3"/>
    <w:rsid w:val="00AC137D"/>
    <w:rsid w:val="00AC2D5B"/>
    <w:rsid w:val="00AC509E"/>
    <w:rsid w:val="00AD124E"/>
    <w:rsid w:val="00AD42D4"/>
    <w:rsid w:val="00AE2A66"/>
    <w:rsid w:val="00AE5639"/>
    <w:rsid w:val="00AF0A0D"/>
    <w:rsid w:val="00AF5853"/>
    <w:rsid w:val="00B00944"/>
    <w:rsid w:val="00B01A7F"/>
    <w:rsid w:val="00B03983"/>
    <w:rsid w:val="00B05873"/>
    <w:rsid w:val="00B12C43"/>
    <w:rsid w:val="00B15781"/>
    <w:rsid w:val="00B17D88"/>
    <w:rsid w:val="00B2050D"/>
    <w:rsid w:val="00B24B4B"/>
    <w:rsid w:val="00B25883"/>
    <w:rsid w:val="00B26820"/>
    <w:rsid w:val="00B32708"/>
    <w:rsid w:val="00B34507"/>
    <w:rsid w:val="00B36EAC"/>
    <w:rsid w:val="00B4106A"/>
    <w:rsid w:val="00B47015"/>
    <w:rsid w:val="00B505B9"/>
    <w:rsid w:val="00B52291"/>
    <w:rsid w:val="00B55BDD"/>
    <w:rsid w:val="00B60B7A"/>
    <w:rsid w:val="00B67B1B"/>
    <w:rsid w:val="00B74D1D"/>
    <w:rsid w:val="00B75298"/>
    <w:rsid w:val="00B82A25"/>
    <w:rsid w:val="00B878AC"/>
    <w:rsid w:val="00B90410"/>
    <w:rsid w:val="00B90814"/>
    <w:rsid w:val="00B92749"/>
    <w:rsid w:val="00B95E60"/>
    <w:rsid w:val="00B96E10"/>
    <w:rsid w:val="00BA0342"/>
    <w:rsid w:val="00BA41BA"/>
    <w:rsid w:val="00BA492C"/>
    <w:rsid w:val="00BA7906"/>
    <w:rsid w:val="00BB1322"/>
    <w:rsid w:val="00BB1AD8"/>
    <w:rsid w:val="00BB3F87"/>
    <w:rsid w:val="00BC26A2"/>
    <w:rsid w:val="00BC6176"/>
    <w:rsid w:val="00BC63D7"/>
    <w:rsid w:val="00BD1B30"/>
    <w:rsid w:val="00BD33DC"/>
    <w:rsid w:val="00BD45F9"/>
    <w:rsid w:val="00BD48F3"/>
    <w:rsid w:val="00BD5494"/>
    <w:rsid w:val="00BD59A4"/>
    <w:rsid w:val="00BD6465"/>
    <w:rsid w:val="00BE041B"/>
    <w:rsid w:val="00BE1093"/>
    <w:rsid w:val="00BE54F6"/>
    <w:rsid w:val="00BE6A33"/>
    <w:rsid w:val="00BE6AEF"/>
    <w:rsid w:val="00BF0D17"/>
    <w:rsid w:val="00BF2691"/>
    <w:rsid w:val="00BF5865"/>
    <w:rsid w:val="00BF5E83"/>
    <w:rsid w:val="00BF6122"/>
    <w:rsid w:val="00BF6A1B"/>
    <w:rsid w:val="00C03D6C"/>
    <w:rsid w:val="00C04B72"/>
    <w:rsid w:val="00C05E9A"/>
    <w:rsid w:val="00C161AE"/>
    <w:rsid w:val="00C1665A"/>
    <w:rsid w:val="00C16840"/>
    <w:rsid w:val="00C211A7"/>
    <w:rsid w:val="00C23D9C"/>
    <w:rsid w:val="00C31BEA"/>
    <w:rsid w:val="00C44A60"/>
    <w:rsid w:val="00C46222"/>
    <w:rsid w:val="00C46352"/>
    <w:rsid w:val="00C465E1"/>
    <w:rsid w:val="00C50A09"/>
    <w:rsid w:val="00C54C33"/>
    <w:rsid w:val="00C605A5"/>
    <w:rsid w:val="00C611D8"/>
    <w:rsid w:val="00C64480"/>
    <w:rsid w:val="00C659B0"/>
    <w:rsid w:val="00C67AE7"/>
    <w:rsid w:val="00C71002"/>
    <w:rsid w:val="00C7334B"/>
    <w:rsid w:val="00C74FB8"/>
    <w:rsid w:val="00C751D3"/>
    <w:rsid w:val="00C773B3"/>
    <w:rsid w:val="00C81A55"/>
    <w:rsid w:val="00C828CB"/>
    <w:rsid w:val="00C84983"/>
    <w:rsid w:val="00C87BF7"/>
    <w:rsid w:val="00C94C33"/>
    <w:rsid w:val="00C97DC3"/>
    <w:rsid w:val="00CA5914"/>
    <w:rsid w:val="00CB6DCC"/>
    <w:rsid w:val="00CB72AE"/>
    <w:rsid w:val="00CB7BE7"/>
    <w:rsid w:val="00CD1709"/>
    <w:rsid w:val="00CD19F5"/>
    <w:rsid w:val="00CD2642"/>
    <w:rsid w:val="00CE1A5E"/>
    <w:rsid w:val="00CE5473"/>
    <w:rsid w:val="00CE6256"/>
    <w:rsid w:val="00CF03CD"/>
    <w:rsid w:val="00CF56A5"/>
    <w:rsid w:val="00D000C7"/>
    <w:rsid w:val="00D00A57"/>
    <w:rsid w:val="00D00C52"/>
    <w:rsid w:val="00D0131E"/>
    <w:rsid w:val="00D0146C"/>
    <w:rsid w:val="00D03B78"/>
    <w:rsid w:val="00D05359"/>
    <w:rsid w:val="00D05C70"/>
    <w:rsid w:val="00D10DC0"/>
    <w:rsid w:val="00D13521"/>
    <w:rsid w:val="00D14B60"/>
    <w:rsid w:val="00D200C3"/>
    <w:rsid w:val="00D20350"/>
    <w:rsid w:val="00D25AC4"/>
    <w:rsid w:val="00D30798"/>
    <w:rsid w:val="00D37801"/>
    <w:rsid w:val="00D44E4A"/>
    <w:rsid w:val="00D46E4B"/>
    <w:rsid w:val="00D54758"/>
    <w:rsid w:val="00D560AD"/>
    <w:rsid w:val="00D63189"/>
    <w:rsid w:val="00D660D8"/>
    <w:rsid w:val="00D710BF"/>
    <w:rsid w:val="00D758F1"/>
    <w:rsid w:val="00D76971"/>
    <w:rsid w:val="00D805D6"/>
    <w:rsid w:val="00D820E2"/>
    <w:rsid w:val="00D83D5E"/>
    <w:rsid w:val="00D858D4"/>
    <w:rsid w:val="00D96157"/>
    <w:rsid w:val="00D97BB4"/>
    <w:rsid w:val="00DA32F7"/>
    <w:rsid w:val="00DA384A"/>
    <w:rsid w:val="00DA3BA0"/>
    <w:rsid w:val="00DA6E90"/>
    <w:rsid w:val="00DB007E"/>
    <w:rsid w:val="00DB24A4"/>
    <w:rsid w:val="00DB3179"/>
    <w:rsid w:val="00DB44C5"/>
    <w:rsid w:val="00DB7D59"/>
    <w:rsid w:val="00DC02FA"/>
    <w:rsid w:val="00DC43BE"/>
    <w:rsid w:val="00DD1E7F"/>
    <w:rsid w:val="00DD2DC3"/>
    <w:rsid w:val="00DD38D6"/>
    <w:rsid w:val="00DD6233"/>
    <w:rsid w:val="00DD6490"/>
    <w:rsid w:val="00DD6C5A"/>
    <w:rsid w:val="00DE05A8"/>
    <w:rsid w:val="00DE07FE"/>
    <w:rsid w:val="00DE2E7C"/>
    <w:rsid w:val="00DE5C3D"/>
    <w:rsid w:val="00DE6121"/>
    <w:rsid w:val="00DE635B"/>
    <w:rsid w:val="00DF3A91"/>
    <w:rsid w:val="00E00119"/>
    <w:rsid w:val="00E00D4D"/>
    <w:rsid w:val="00E00F52"/>
    <w:rsid w:val="00E019B8"/>
    <w:rsid w:val="00E046EF"/>
    <w:rsid w:val="00E0503C"/>
    <w:rsid w:val="00E07245"/>
    <w:rsid w:val="00E0730D"/>
    <w:rsid w:val="00E07761"/>
    <w:rsid w:val="00E14319"/>
    <w:rsid w:val="00E14AC7"/>
    <w:rsid w:val="00E15C74"/>
    <w:rsid w:val="00E16925"/>
    <w:rsid w:val="00E2137A"/>
    <w:rsid w:val="00E21D71"/>
    <w:rsid w:val="00E2310B"/>
    <w:rsid w:val="00E23FA3"/>
    <w:rsid w:val="00E25DBC"/>
    <w:rsid w:val="00E31A90"/>
    <w:rsid w:val="00E34A32"/>
    <w:rsid w:val="00E37A12"/>
    <w:rsid w:val="00E37CD4"/>
    <w:rsid w:val="00E4610B"/>
    <w:rsid w:val="00E46975"/>
    <w:rsid w:val="00E477CD"/>
    <w:rsid w:val="00E52F76"/>
    <w:rsid w:val="00E551DC"/>
    <w:rsid w:val="00E606EF"/>
    <w:rsid w:val="00E62913"/>
    <w:rsid w:val="00E65625"/>
    <w:rsid w:val="00E65C44"/>
    <w:rsid w:val="00E70102"/>
    <w:rsid w:val="00E70EDF"/>
    <w:rsid w:val="00E73FCE"/>
    <w:rsid w:val="00E74303"/>
    <w:rsid w:val="00E7721B"/>
    <w:rsid w:val="00E8196C"/>
    <w:rsid w:val="00E851EB"/>
    <w:rsid w:val="00E85653"/>
    <w:rsid w:val="00E857BC"/>
    <w:rsid w:val="00E877A9"/>
    <w:rsid w:val="00E95C73"/>
    <w:rsid w:val="00E96614"/>
    <w:rsid w:val="00E967CA"/>
    <w:rsid w:val="00E97F14"/>
    <w:rsid w:val="00EB2FAB"/>
    <w:rsid w:val="00EB73E3"/>
    <w:rsid w:val="00EB77E6"/>
    <w:rsid w:val="00EC1377"/>
    <w:rsid w:val="00EC1B0C"/>
    <w:rsid w:val="00EC43EC"/>
    <w:rsid w:val="00EC4BB8"/>
    <w:rsid w:val="00ED37C1"/>
    <w:rsid w:val="00ED39C6"/>
    <w:rsid w:val="00ED4119"/>
    <w:rsid w:val="00EE1832"/>
    <w:rsid w:val="00EE239D"/>
    <w:rsid w:val="00EE67AB"/>
    <w:rsid w:val="00F05A86"/>
    <w:rsid w:val="00F063F9"/>
    <w:rsid w:val="00F10124"/>
    <w:rsid w:val="00F13996"/>
    <w:rsid w:val="00F1747B"/>
    <w:rsid w:val="00F17E1B"/>
    <w:rsid w:val="00F22A7D"/>
    <w:rsid w:val="00F23234"/>
    <w:rsid w:val="00F3073B"/>
    <w:rsid w:val="00F3311D"/>
    <w:rsid w:val="00F36657"/>
    <w:rsid w:val="00F400F9"/>
    <w:rsid w:val="00F41DDD"/>
    <w:rsid w:val="00F43252"/>
    <w:rsid w:val="00F435AB"/>
    <w:rsid w:val="00F451B8"/>
    <w:rsid w:val="00F54B94"/>
    <w:rsid w:val="00F54E9A"/>
    <w:rsid w:val="00F66E23"/>
    <w:rsid w:val="00F70624"/>
    <w:rsid w:val="00F7565C"/>
    <w:rsid w:val="00F764EB"/>
    <w:rsid w:val="00F80F75"/>
    <w:rsid w:val="00F83100"/>
    <w:rsid w:val="00F86A2C"/>
    <w:rsid w:val="00F87F42"/>
    <w:rsid w:val="00F91498"/>
    <w:rsid w:val="00FA116A"/>
    <w:rsid w:val="00FA1EE4"/>
    <w:rsid w:val="00FA55E7"/>
    <w:rsid w:val="00FB05DF"/>
    <w:rsid w:val="00FB26D9"/>
    <w:rsid w:val="00FB3053"/>
    <w:rsid w:val="00FC46FE"/>
    <w:rsid w:val="00FC6423"/>
    <w:rsid w:val="00FC75BE"/>
    <w:rsid w:val="00FD5CB8"/>
    <w:rsid w:val="00FE10B5"/>
    <w:rsid w:val="00FE30EB"/>
    <w:rsid w:val="00FE5766"/>
    <w:rsid w:val="00FE57AA"/>
    <w:rsid w:val="00FE6000"/>
    <w:rsid w:val="00FE7EA5"/>
    <w:rsid w:val="00FF48C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087AF"/>
  <w15:docId w15:val="{1E1F8C85-BCF5-457A-832D-399995F9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66F"/>
    <w:pPr>
      <w:spacing w:after="0" w:line="240" w:lineRule="auto"/>
    </w:pPr>
    <w:rPr>
      <w:sz w:val="24"/>
      <w:szCs w:val="24"/>
    </w:rPr>
  </w:style>
  <w:style w:type="paragraph" w:styleId="Heading1">
    <w:name w:val="heading 1"/>
    <w:basedOn w:val="Normal"/>
    <w:link w:val="Heading1Char"/>
    <w:uiPriority w:val="9"/>
    <w:qFormat/>
    <w:rsid w:val="00414BE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266C8"/>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066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066F"/>
    <w:pPr>
      <w:ind w:left="720"/>
      <w:contextualSpacing/>
    </w:pPr>
  </w:style>
  <w:style w:type="paragraph" w:styleId="Header">
    <w:name w:val="header"/>
    <w:basedOn w:val="Normal"/>
    <w:link w:val="HeaderChar"/>
    <w:uiPriority w:val="99"/>
    <w:unhideWhenUsed/>
    <w:rsid w:val="00DE05A8"/>
    <w:pPr>
      <w:tabs>
        <w:tab w:val="center" w:pos="4680"/>
        <w:tab w:val="right" w:pos="9360"/>
      </w:tabs>
    </w:pPr>
  </w:style>
  <w:style w:type="character" w:customStyle="1" w:styleId="HeaderChar">
    <w:name w:val="Header Char"/>
    <w:basedOn w:val="DefaultParagraphFont"/>
    <w:link w:val="Header"/>
    <w:uiPriority w:val="99"/>
    <w:rsid w:val="00DE05A8"/>
    <w:rPr>
      <w:sz w:val="24"/>
      <w:szCs w:val="24"/>
    </w:rPr>
  </w:style>
  <w:style w:type="paragraph" w:styleId="Footer">
    <w:name w:val="footer"/>
    <w:basedOn w:val="Normal"/>
    <w:link w:val="FooterChar"/>
    <w:uiPriority w:val="99"/>
    <w:unhideWhenUsed/>
    <w:rsid w:val="00DE05A8"/>
    <w:pPr>
      <w:tabs>
        <w:tab w:val="center" w:pos="4680"/>
        <w:tab w:val="right" w:pos="9360"/>
      </w:tabs>
    </w:pPr>
  </w:style>
  <w:style w:type="character" w:customStyle="1" w:styleId="FooterChar">
    <w:name w:val="Footer Char"/>
    <w:basedOn w:val="DefaultParagraphFont"/>
    <w:link w:val="Footer"/>
    <w:uiPriority w:val="99"/>
    <w:rsid w:val="00DE05A8"/>
    <w:rPr>
      <w:sz w:val="24"/>
      <w:szCs w:val="24"/>
    </w:rPr>
  </w:style>
  <w:style w:type="paragraph" w:styleId="BalloonText">
    <w:name w:val="Balloon Text"/>
    <w:basedOn w:val="Normal"/>
    <w:link w:val="BalloonTextChar"/>
    <w:uiPriority w:val="99"/>
    <w:semiHidden/>
    <w:unhideWhenUsed/>
    <w:rsid w:val="002952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2CE"/>
    <w:rPr>
      <w:rFonts w:ascii="Segoe UI" w:hAnsi="Segoe UI" w:cs="Segoe UI"/>
      <w:sz w:val="18"/>
      <w:szCs w:val="18"/>
    </w:rPr>
  </w:style>
  <w:style w:type="character" w:customStyle="1" w:styleId="Heading1Char">
    <w:name w:val="Heading 1 Char"/>
    <w:basedOn w:val="DefaultParagraphFont"/>
    <w:link w:val="Heading1"/>
    <w:uiPriority w:val="9"/>
    <w:rsid w:val="00414BE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14BEB"/>
    <w:rPr>
      <w:color w:val="0563C1"/>
      <w:u w:val="single"/>
    </w:rPr>
  </w:style>
  <w:style w:type="character" w:styleId="FollowedHyperlink">
    <w:name w:val="FollowedHyperlink"/>
    <w:basedOn w:val="DefaultParagraphFont"/>
    <w:uiPriority w:val="99"/>
    <w:semiHidden/>
    <w:unhideWhenUsed/>
    <w:rsid w:val="00414BEB"/>
    <w:rPr>
      <w:color w:val="954F72" w:themeColor="followedHyperlink"/>
      <w:u w:val="single"/>
    </w:rPr>
  </w:style>
  <w:style w:type="character" w:customStyle="1" w:styleId="Heading2Char">
    <w:name w:val="Heading 2 Char"/>
    <w:basedOn w:val="DefaultParagraphFont"/>
    <w:link w:val="Heading2"/>
    <w:uiPriority w:val="9"/>
    <w:rsid w:val="001266C8"/>
    <w:rPr>
      <w:rFonts w:asciiTheme="majorHAnsi" w:eastAsiaTheme="majorEastAsia" w:hAnsiTheme="majorHAnsi" w:cstheme="majorBidi"/>
      <w:b/>
      <w:bCs/>
      <w:color w:val="4472C4" w:themeColor="accent1"/>
      <w:sz w:val="26"/>
      <w:szCs w:val="26"/>
    </w:rPr>
  </w:style>
  <w:style w:type="paragraph" w:styleId="TOCHeading">
    <w:name w:val="TOC Heading"/>
    <w:basedOn w:val="Heading1"/>
    <w:next w:val="Normal"/>
    <w:uiPriority w:val="39"/>
    <w:unhideWhenUsed/>
    <w:qFormat/>
    <w:rsid w:val="00E15C7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Normal"/>
    <w:next w:val="Normal"/>
    <w:autoRedefine/>
    <w:uiPriority w:val="39"/>
    <w:unhideWhenUsed/>
    <w:rsid w:val="00E551DC"/>
    <w:pPr>
      <w:tabs>
        <w:tab w:val="right" w:pos="10790"/>
      </w:tabs>
      <w:spacing w:after="100" w:line="259" w:lineRule="auto"/>
      <w:ind w:left="220"/>
    </w:pPr>
    <w:rPr>
      <w:sz w:val="22"/>
      <w:szCs w:val="22"/>
    </w:rPr>
  </w:style>
  <w:style w:type="character" w:styleId="CommentReference">
    <w:name w:val="annotation reference"/>
    <w:basedOn w:val="DefaultParagraphFont"/>
    <w:uiPriority w:val="99"/>
    <w:semiHidden/>
    <w:unhideWhenUsed/>
    <w:rsid w:val="00A055BF"/>
    <w:rPr>
      <w:sz w:val="16"/>
      <w:szCs w:val="16"/>
    </w:rPr>
  </w:style>
  <w:style w:type="paragraph" w:styleId="CommentText">
    <w:name w:val="annotation text"/>
    <w:basedOn w:val="Normal"/>
    <w:link w:val="CommentTextChar"/>
    <w:uiPriority w:val="99"/>
    <w:unhideWhenUsed/>
    <w:rsid w:val="00A055BF"/>
    <w:pPr>
      <w:spacing w:after="160"/>
    </w:pPr>
    <w:rPr>
      <w:sz w:val="20"/>
      <w:szCs w:val="20"/>
    </w:rPr>
  </w:style>
  <w:style w:type="character" w:customStyle="1" w:styleId="CommentTextChar">
    <w:name w:val="Comment Text Char"/>
    <w:basedOn w:val="DefaultParagraphFont"/>
    <w:link w:val="CommentText"/>
    <w:uiPriority w:val="99"/>
    <w:rsid w:val="00A055BF"/>
    <w:rPr>
      <w:sz w:val="20"/>
      <w:szCs w:val="20"/>
    </w:rPr>
  </w:style>
  <w:style w:type="paragraph" w:styleId="NoSpacing">
    <w:name w:val="No Spacing"/>
    <w:uiPriority w:val="1"/>
    <w:qFormat/>
    <w:rsid w:val="000F70CA"/>
    <w:pPr>
      <w:spacing w:after="0" w:line="240" w:lineRule="auto"/>
    </w:pPr>
  </w:style>
  <w:style w:type="paragraph" w:customStyle="1" w:styleId="paragraph">
    <w:name w:val="paragraph"/>
    <w:basedOn w:val="Normal"/>
    <w:rsid w:val="000F70CA"/>
    <w:pPr>
      <w:spacing w:before="100" w:beforeAutospacing="1" w:after="100" w:afterAutospacing="1"/>
    </w:pPr>
    <w:rPr>
      <w:rFonts w:ascii="Calibri" w:hAnsi="Calibri" w:cs="Calibri"/>
      <w:sz w:val="22"/>
      <w:szCs w:val="22"/>
    </w:rPr>
  </w:style>
  <w:style w:type="character" w:customStyle="1" w:styleId="normaltextrun">
    <w:name w:val="normaltextrun"/>
    <w:basedOn w:val="DefaultParagraphFont"/>
    <w:rsid w:val="000F70CA"/>
  </w:style>
  <w:style w:type="character" w:customStyle="1" w:styleId="eop">
    <w:name w:val="eop"/>
    <w:basedOn w:val="DefaultParagraphFont"/>
    <w:rsid w:val="000F70CA"/>
  </w:style>
  <w:style w:type="paragraph" w:styleId="EndnoteText">
    <w:name w:val="endnote text"/>
    <w:basedOn w:val="Normal"/>
    <w:link w:val="EndnoteTextChar"/>
    <w:uiPriority w:val="99"/>
    <w:semiHidden/>
    <w:unhideWhenUsed/>
    <w:rsid w:val="006F224D"/>
    <w:rPr>
      <w:sz w:val="20"/>
      <w:szCs w:val="20"/>
    </w:rPr>
  </w:style>
  <w:style w:type="character" w:customStyle="1" w:styleId="EndnoteTextChar">
    <w:name w:val="Endnote Text Char"/>
    <w:basedOn w:val="DefaultParagraphFont"/>
    <w:link w:val="EndnoteText"/>
    <w:uiPriority w:val="99"/>
    <w:semiHidden/>
    <w:rsid w:val="006F224D"/>
    <w:rPr>
      <w:sz w:val="20"/>
      <w:szCs w:val="20"/>
    </w:rPr>
  </w:style>
  <w:style w:type="character" w:styleId="EndnoteReference">
    <w:name w:val="endnote reference"/>
    <w:basedOn w:val="DefaultParagraphFont"/>
    <w:uiPriority w:val="99"/>
    <w:semiHidden/>
    <w:unhideWhenUsed/>
    <w:rsid w:val="006F224D"/>
    <w:rPr>
      <w:vertAlign w:val="superscript"/>
    </w:rPr>
  </w:style>
  <w:style w:type="character" w:styleId="IntenseEmphasis">
    <w:name w:val="Intense Emphasis"/>
    <w:basedOn w:val="DefaultParagraphFont"/>
    <w:uiPriority w:val="21"/>
    <w:qFormat/>
    <w:rsid w:val="00F7565C"/>
    <w:rPr>
      <w:i/>
      <w:iCs/>
      <w:color w:val="4472C4" w:themeColor="accent1"/>
    </w:rPr>
  </w:style>
  <w:style w:type="paragraph" w:styleId="TOC1">
    <w:name w:val="toc 1"/>
    <w:basedOn w:val="Normal"/>
    <w:next w:val="Normal"/>
    <w:autoRedefine/>
    <w:uiPriority w:val="39"/>
    <w:unhideWhenUsed/>
    <w:rsid w:val="00F7565C"/>
    <w:pPr>
      <w:spacing w:after="100"/>
    </w:pPr>
  </w:style>
  <w:style w:type="character" w:customStyle="1" w:styleId="UnresolvedMention1">
    <w:name w:val="Unresolved Mention1"/>
    <w:basedOn w:val="DefaultParagraphFont"/>
    <w:uiPriority w:val="99"/>
    <w:semiHidden/>
    <w:unhideWhenUsed/>
    <w:rsid w:val="00605C2C"/>
    <w:rPr>
      <w:color w:val="605E5C"/>
      <w:shd w:val="clear" w:color="auto" w:fill="E1DFDD"/>
    </w:rPr>
  </w:style>
  <w:style w:type="paragraph" w:styleId="NormalWeb">
    <w:name w:val="Normal (Web)"/>
    <w:basedOn w:val="Normal"/>
    <w:uiPriority w:val="99"/>
    <w:unhideWhenUsed/>
    <w:rsid w:val="002E163C"/>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2D7922"/>
    <w:rPr>
      <w:sz w:val="20"/>
      <w:szCs w:val="20"/>
    </w:rPr>
  </w:style>
  <w:style w:type="character" w:customStyle="1" w:styleId="FootnoteTextChar">
    <w:name w:val="Footnote Text Char"/>
    <w:basedOn w:val="DefaultParagraphFont"/>
    <w:link w:val="FootnoteText"/>
    <w:uiPriority w:val="99"/>
    <w:semiHidden/>
    <w:rsid w:val="002D7922"/>
    <w:rPr>
      <w:sz w:val="20"/>
      <w:szCs w:val="20"/>
    </w:rPr>
  </w:style>
  <w:style w:type="character" w:styleId="FootnoteReference">
    <w:name w:val="footnote reference"/>
    <w:basedOn w:val="DefaultParagraphFont"/>
    <w:uiPriority w:val="99"/>
    <w:semiHidden/>
    <w:unhideWhenUsed/>
    <w:rsid w:val="002D7922"/>
    <w:rPr>
      <w:vertAlign w:val="superscript"/>
    </w:rPr>
  </w:style>
  <w:style w:type="paragraph" w:styleId="CommentSubject">
    <w:name w:val="annotation subject"/>
    <w:basedOn w:val="CommentText"/>
    <w:next w:val="CommentText"/>
    <w:link w:val="CommentSubjectChar"/>
    <w:uiPriority w:val="99"/>
    <w:semiHidden/>
    <w:unhideWhenUsed/>
    <w:rsid w:val="00DE635B"/>
    <w:pPr>
      <w:spacing w:after="0"/>
    </w:pPr>
    <w:rPr>
      <w:b/>
      <w:bCs/>
    </w:rPr>
  </w:style>
  <w:style w:type="character" w:customStyle="1" w:styleId="CommentSubjectChar">
    <w:name w:val="Comment Subject Char"/>
    <w:basedOn w:val="CommentTextChar"/>
    <w:link w:val="CommentSubject"/>
    <w:uiPriority w:val="99"/>
    <w:semiHidden/>
    <w:rsid w:val="00DE635B"/>
    <w:rPr>
      <w:b/>
      <w:bCs/>
      <w:sz w:val="20"/>
      <w:szCs w:val="20"/>
    </w:rPr>
  </w:style>
  <w:style w:type="paragraph" w:styleId="Revision">
    <w:name w:val="Revision"/>
    <w:hidden/>
    <w:uiPriority w:val="99"/>
    <w:semiHidden/>
    <w:rsid w:val="00966DFF"/>
    <w:pPr>
      <w:spacing w:after="0" w:line="240" w:lineRule="auto"/>
    </w:pPr>
    <w:rPr>
      <w:sz w:val="24"/>
      <w:szCs w:val="24"/>
    </w:rPr>
  </w:style>
  <w:style w:type="character" w:customStyle="1" w:styleId="UnresolvedMention2">
    <w:name w:val="Unresolved Mention2"/>
    <w:basedOn w:val="DefaultParagraphFont"/>
    <w:uiPriority w:val="99"/>
    <w:semiHidden/>
    <w:unhideWhenUsed/>
    <w:rsid w:val="0098068E"/>
    <w:rPr>
      <w:color w:val="605E5C"/>
      <w:shd w:val="clear" w:color="auto" w:fill="E1DFDD"/>
    </w:rPr>
  </w:style>
  <w:style w:type="paragraph" w:styleId="BodyText">
    <w:name w:val="Body Text"/>
    <w:basedOn w:val="Normal"/>
    <w:link w:val="BodyTextChar"/>
    <w:uiPriority w:val="1"/>
    <w:qFormat/>
    <w:rsid w:val="00C659B0"/>
    <w:pPr>
      <w:widowControl w:val="0"/>
      <w:autoSpaceDE w:val="0"/>
      <w:autoSpaceDN w:val="0"/>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C659B0"/>
    <w:rPr>
      <w:rFonts w:ascii="Calibri" w:eastAsia="Calibri" w:hAnsi="Calibri" w:cs="Calibri"/>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5205">
      <w:bodyDiv w:val="1"/>
      <w:marLeft w:val="0"/>
      <w:marRight w:val="0"/>
      <w:marTop w:val="0"/>
      <w:marBottom w:val="0"/>
      <w:divBdr>
        <w:top w:val="none" w:sz="0" w:space="0" w:color="auto"/>
        <w:left w:val="none" w:sz="0" w:space="0" w:color="auto"/>
        <w:bottom w:val="none" w:sz="0" w:space="0" w:color="auto"/>
        <w:right w:val="none" w:sz="0" w:space="0" w:color="auto"/>
      </w:divBdr>
    </w:div>
    <w:div w:id="141119422">
      <w:bodyDiv w:val="1"/>
      <w:marLeft w:val="0"/>
      <w:marRight w:val="0"/>
      <w:marTop w:val="0"/>
      <w:marBottom w:val="0"/>
      <w:divBdr>
        <w:top w:val="none" w:sz="0" w:space="0" w:color="auto"/>
        <w:left w:val="none" w:sz="0" w:space="0" w:color="auto"/>
        <w:bottom w:val="none" w:sz="0" w:space="0" w:color="auto"/>
        <w:right w:val="none" w:sz="0" w:space="0" w:color="auto"/>
      </w:divBdr>
      <w:divsChild>
        <w:div w:id="1546678340">
          <w:marLeft w:val="547"/>
          <w:marRight w:val="0"/>
          <w:marTop w:val="0"/>
          <w:marBottom w:val="0"/>
          <w:divBdr>
            <w:top w:val="none" w:sz="0" w:space="0" w:color="auto"/>
            <w:left w:val="none" w:sz="0" w:space="0" w:color="auto"/>
            <w:bottom w:val="none" w:sz="0" w:space="0" w:color="auto"/>
            <w:right w:val="none" w:sz="0" w:space="0" w:color="auto"/>
          </w:divBdr>
        </w:div>
      </w:divsChild>
    </w:div>
    <w:div w:id="238902401">
      <w:bodyDiv w:val="1"/>
      <w:marLeft w:val="0"/>
      <w:marRight w:val="0"/>
      <w:marTop w:val="0"/>
      <w:marBottom w:val="0"/>
      <w:divBdr>
        <w:top w:val="none" w:sz="0" w:space="0" w:color="auto"/>
        <w:left w:val="none" w:sz="0" w:space="0" w:color="auto"/>
        <w:bottom w:val="none" w:sz="0" w:space="0" w:color="auto"/>
        <w:right w:val="none" w:sz="0" w:space="0" w:color="auto"/>
      </w:divBdr>
    </w:div>
    <w:div w:id="775440692">
      <w:bodyDiv w:val="1"/>
      <w:marLeft w:val="0"/>
      <w:marRight w:val="0"/>
      <w:marTop w:val="0"/>
      <w:marBottom w:val="0"/>
      <w:divBdr>
        <w:top w:val="none" w:sz="0" w:space="0" w:color="auto"/>
        <w:left w:val="none" w:sz="0" w:space="0" w:color="auto"/>
        <w:bottom w:val="none" w:sz="0" w:space="0" w:color="auto"/>
        <w:right w:val="none" w:sz="0" w:space="0" w:color="auto"/>
      </w:divBdr>
    </w:div>
    <w:div w:id="1590119424">
      <w:bodyDiv w:val="1"/>
      <w:marLeft w:val="0"/>
      <w:marRight w:val="0"/>
      <w:marTop w:val="0"/>
      <w:marBottom w:val="0"/>
      <w:divBdr>
        <w:top w:val="none" w:sz="0" w:space="0" w:color="auto"/>
        <w:left w:val="none" w:sz="0" w:space="0" w:color="auto"/>
        <w:bottom w:val="none" w:sz="0" w:space="0" w:color="auto"/>
        <w:right w:val="none" w:sz="0" w:space="0" w:color="auto"/>
      </w:divBdr>
    </w:div>
    <w:div w:id="1728524722">
      <w:bodyDiv w:val="1"/>
      <w:marLeft w:val="0"/>
      <w:marRight w:val="0"/>
      <w:marTop w:val="0"/>
      <w:marBottom w:val="0"/>
      <w:divBdr>
        <w:top w:val="none" w:sz="0" w:space="0" w:color="auto"/>
        <w:left w:val="none" w:sz="0" w:space="0" w:color="auto"/>
        <w:bottom w:val="none" w:sz="0" w:space="0" w:color="auto"/>
        <w:right w:val="none" w:sz="0" w:space="0" w:color="auto"/>
      </w:divBdr>
    </w:div>
    <w:div w:id="2117020723">
      <w:bodyDiv w:val="1"/>
      <w:marLeft w:val="0"/>
      <w:marRight w:val="0"/>
      <w:marTop w:val="0"/>
      <w:marBottom w:val="0"/>
      <w:divBdr>
        <w:top w:val="none" w:sz="0" w:space="0" w:color="auto"/>
        <w:left w:val="none" w:sz="0" w:space="0" w:color="auto"/>
        <w:bottom w:val="none" w:sz="0" w:space="0" w:color="auto"/>
        <w:right w:val="none" w:sz="0" w:space="0" w:color="auto"/>
      </w:divBdr>
      <w:divsChild>
        <w:div w:id="20126334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mhsa.gov/sites/default/files/core-content-trainers-guide.pdf" TargetMode="External"/><Relationship Id="rId18" Type="http://schemas.openxmlformats.org/officeDocument/2006/relationships/hyperlink" Target="https://www.va.gov/HOMELESS/ssvf/docs/SSVF_HP_Screening_Companion_Guide.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huduser.gov/portal/datasets/home-datasets/files/HOME_IncomeLmts_State_MA_2021.pdf" TargetMode="External"/><Relationship Id="rId7" Type="http://schemas.openxmlformats.org/officeDocument/2006/relationships/settings" Target="settings.xml"/><Relationship Id="rId12" Type="http://schemas.openxmlformats.org/officeDocument/2006/relationships/hyperlink" Target="https://files.hudexchange.info/resources/documents/Coordinated-Entry-Core-Elements.pdf" TargetMode="External"/><Relationship Id="rId17" Type="http://schemas.openxmlformats.org/officeDocument/2006/relationships/hyperlink" Target="https://endhomelessness.org/resource/rapid-re-housing-performance-benchmarks-and-program-standards/" TargetMode="External"/><Relationship Id="rId25" Type="http://schemas.openxmlformats.org/officeDocument/2006/relationships/hyperlink" Target="https://applyhousinghelp.mass.gov/en-US/Pages/View/124/select-your-language" TargetMode="External"/><Relationship Id="rId2" Type="http://schemas.openxmlformats.org/officeDocument/2006/relationships/customXml" Target="../customXml/item2.xml"/><Relationship Id="rId16" Type="http://schemas.openxmlformats.org/officeDocument/2006/relationships/hyperlink" Target="http://www.va.gov/homeless/ssvf/index.asp" TargetMode="External"/><Relationship Id="rId20" Type="http://schemas.openxmlformats.org/officeDocument/2006/relationships/hyperlink" Target="https://www.masscourts.org/eservices/home.page.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a.gov/HOMELESS/ssvf/docs/SSVF_HP_Screening_Companion_Guide.pdf"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hudexchange.info/news/from-our-federal-partners-housing-problem-solving-with-prevention-diversion-and-rapid-exit-strategie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files.hudexchange.info/resources/documents/Flowchart-of-HUDs-Definition-of-Chronic-Homelessnes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meo.com/showcase/5392480/video/288361017" TargetMode="External"/><Relationship Id="rId22" Type="http://schemas.openxmlformats.org/officeDocument/2006/relationships/header" Target="header1.xm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www.samhsa.gov/sites/default/files/core-content-trainers-guide.pdf" TargetMode="External"/><Relationship Id="rId1" Type="http://schemas.openxmlformats.org/officeDocument/2006/relationships/hyperlink" Target="https://www.samhsa.gov/sites/default/files/core-content-trainers-guid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3" ma:contentTypeDescription="Create a new document." ma:contentTypeScope="" ma:versionID="81419b8494eb94527c2d946e431c782d">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fbe643ce4b9af35340185d4adc6d1f0d"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4D288F-B2EC-477A-A224-DEFA512F58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4E8DD7-ED2A-4C09-97D7-9A5B54BE8D6B}">
  <ds:schemaRefs>
    <ds:schemaRef ds:uri="http://schemas.openxmlformats.org/officeDocument/2006/bibliography"/>
  </ds:schemaRefs>
</ds:datastoreItem>
</file>

<file path=customXml/itemProps3.xml><?xml version="1.0" encoding="utf-8"?>
<ds:datastoreItem xmlns:ds="http://schemas.openxmlformats.org/officeDocument/2006/customXml" ds:itemID="{1EA743A2-7B49-4852-80D2-5F662E9B0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1aee-bbde-49f2-ad42-bc13d499bb79"/>
    <ds:schemaRef ds:uri="2ed1e42b-3b16-4c4c-980e-db513e605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FB887F-A069-4ECA-ACEC-42106498EB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25</Pages>
  <Words>8764</Words>
  <Characters>49960</Characters>
  <Application>Microsoft Office Word</Application>
  <DocSecurity>0</DocSecurity>
  <Lines>416</Lines>
  <Paragraphs>117</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Introduction</vt:lpstr>
      <vt:lpstr/>
      <vt:lpstr>    Principles of Three County Coordinated Entry </vt:lpstr>
      <vt:lpstr>    Responsibilities and Expectations of CE Assessors </vt:lpstr>
      <vt:lpstr>    Three County CE Assessors are a vital part of the CE system, ensuring that indi</vt:lpstr>
      <vt:lpstr>    CE Assessment Tool Stages</vt:lpstr>
      <vt:lpstr>    CE Assessor Core Competencies and Training</vt:lpstr>
      <vt:lpstr>    </vt:lpstr>
      <vt:lpstr>    CE Assessment Tool Clarification and Guidance </vt:lpstr>
      <vt:lpstr>    Appendix A List of Military Service and Veteran Service Providers </vt:lpstr>
      <vt:lpstr>    Appendix B List of Prevention Resources </vt:lpstr>
      <vt:lpstr>    Appendix C List of CE Assessor Organizations/Agencies </vt:lpstr>
      <vt:lpstr>    Appendix D Key Terms and Glossary</vt:lpstr>
    </vt:vector>
  </TitlesOfParts>
  <Manager>Meghan Takashima</Manager>
  <Company>The Contract Manager</Company>
  <LinksUpToDate>false</LinksUpToDate>
  <CharactersWithSpaces>58607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Sebron</dc:creator>
  <cp:keywords/>
  <dc:description/>
  <cp:lastModifiedBy>Yuliana Marley Espinoza Moreno</cp:lastModifiedBy>
  <cp:revision>192</cp:revision>
  <cp:lastPrinted>2022-01-08T14:51:00Z</cp:lastPrinted>
  <dcterms:created xsi:type="dcterms:W3CDTF">2021-12-21T19:33:00Z</dcterms:created>
  <dcterms:modified xsi:type="dcterms:W3CDTF">2022-02-04T03:16:00Z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0x010100DEC0E4106B05AB4D96F170762C7FAB0E</vt:lpwstr>
  </property>
</Properties>
</file>