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14882ABF" w:rsidR="00912251" w:rsidRDefault="700FB027" w:rsidP="700FB027">
      <w:pPr>
        <w:jc w:val="center"/>
        <w:rPr>
          <w:b/>
          <w:bCs/>
          <w:sz w:val="32"/>
          <w:szCs w:val="32"/>
        </w:rPr>
      </w:pPr>
      <w:r w:rsidRPr="700FB027">
        <w:rPr>
          <w:b/>
          <w:bCs/>
          <w:sz w:val="32"/>
          <w:szCs w:val="32"/>
        </w:rPr>
        <w:t>Da</w:t>
      </w:r>
      <w:r w:rsidR="004101C4">
        <w:rPr>
          <w:b/>
          <w:bCs/>
          <w:sz w:val="32"/>
          <w:szCs w:val="32"/>
        </w:rPr>
        <w:t>ta Evaluation Committee Meeting</w:t>
      </w:r>
    </w:p>
    <w:p w14:paraId="557F678E" w14:textId="434CF81A" w:rsidR="700FB027" w:rsidRDefault="2B50E634" w:rsidP="2B50E634">
      <w:pPr>
        <w:jc w:val="center"/>
        <w:rPr>
          <w:sz w:val="28"/>
          <w:szCs w:val="28"/>
        </w:rPr>
      </w:pPr>
      <w:r w:rsidRPr="54E75C0C">
        <w:rPr>
          <w:sz w:val="28"/>
          <w:szCs w:val="28"/>
        </w:rPr>
        <w:t xml:space="preserve">Friday, </w:t>
      </w:r>
      <w:r w:rsidR="60E3C6C2" w:rsidRPr="54E75C0C">
        <w:rPr>
          <w:sz w:val="28"/>
          <w:szCs w:val="28"/>
        </w:rPr>
        <w:t>November 6th</w:t>
      </w:r>
      <w:r w:rsidRPr="54E75C0C">
        <w:rPr>
          <w:sz w:val="28"/>
          <w:szCs w:val="28"/>
        </w:rPr>
        <w:t>, 2020</w:t>
      </w:r>
    </w:p>
    <w:p w14:paraId="1CF890C4" w14:textId="6E3D5943" w:rsidR="700FB027" w:rsidRDefault="488F6D15" w:rsidP="54E75C0C">
      <w:pPr>
        <w:jc w:val="center"/>
        <w:rPr>
          <w:sz w:val="28"/>
          <w:szCs w:val="28"/>
        </w:rPr>
      </w:pPr>
      <w:r w:rsidRPr="54E75C0C">
        <w:rPr>
          <w:sz w:val="28"/>
          <w:szCs w:val="28"/>
        </w:rPr>
        <w:t>8:30</w:t>
      </w:r>
      <w:r w:rsidR="700FB027" w:rsidRPr="54E75C0C">
        <w:rPr>
          <w:sz w:val="28"/>
          <w:szCs w:val="28"/>
        </w:rPr>
        <w:t>– 10</w:t>
      </w:r>
      <w:r w:rsidR="032B1BED" w:rsidRPr="54E75C0C">
        <w:rPr>
          <w:sz w:val="28"/>
          <w:szCs w:val="28"/>
        </w:rPr>
        <w:t>:00</w:t>
      </w:r>
      <w:r w:rsidR="700FB027" w:rsidRPr="54E75C0C">
        <w:rPr>
          <w:sz w:val="28"/>
          <w:szCs w:val="28"/>
        </w:rPr>
        <w:t>am</w:t>
      </w:r>
    </w:p>
    <w:p w14:paraId="4830FA59" w14:textId="2B409804" w:rsidR="700FB027" w:rsidRDefault="700FB027" w:rsidP="700FB027">
      <w:pPr>
        <w:jc w:val="center"/>
        <w:rPr>
          <w:sz w:val="28"/>
          <w:szCs w:val="28"/>
        </w:rPr>
      </w:pPr>
    </w:p>
    <w:p w14:paraId="0D13DA72" w14:textId="02C31717" w:rsidR="00172841" w:rsidRDefault="004101C4" w:rsidP="2B50E634">
      <w:pPr>
        <w:spacing w:line="360" w:lineRule="auto"/>
        <w:rPr>
          <w:sz w:val="28"/>
          <w:szCs w:val="28"/>
        </w:rPr>
      </w:pPr>
      <w:r>
        <w:rPr>
          <w:b/>
          <w:bCs/>
          <w:sz w:val="28"/>
          <w:szCs w:val="28"/>
        </w:rPr>
        <w:t xml:space="preserve">In attendance: Kathy, Cynthia, </w:t>
      </w:r>
      <w:r w:rsidR="00172841">
        <w:rPr>
          <w:b/>
          <w:bCs/>
          <w:sz w:val="28"/>
          <w:szCs w:val="28"/>
        </w:rPr>
        <w:t>Paige, Jonathon</w:t>
      </w:r>
      <w:r>
        <w:rPr>
          <w:b/>
          <w:bCs/>
          <w:sz w:val="28"/>
          <w:szCs w:val="28"/>
        </w:rPr>
        <w:t xml:space="preserve">, </w:t>
      </w:r>
      <w:proofErr w:type="spellStart"/>
      <w:r>
        <w:rPr>
          <w:b/>
          <w:bCs/>
          <w:sz w:val="28"/>
          <w:szCs w:val="28"/>
        </w:rPr>
        <w:t>Shaundell</w:t>
      </w:r>
      <w:proofErr w:type="spellEnd"/>
      <w:r w:rsidR="007E06BC">
        <w:rPr>
          <w:b/>
          <w:bCs/>
          <w:sz w:val="28"/>
          <w:szCs w:val="28"/>
        </w:rPr>
        <w:t>, Michele</w:t>
      </w:r>
    </w:p>
    <w:p w14:paraId="59DB9009" w14:textId="6F846425" w:rsidR="088199F9" w:rsidRDefault="088199F9" w:rsidP="54E75C0C">
      <w:pPr>
        <w:spacing w:after="0" w:line="360" w:lineRule="auto"/>
        <w:rPr>
          <w:b/>
          <w:bCs/>
          <w:sz w:val="28"/>
          <w:szCs w:val="28"/>
        </w:rPr>
      </w:pPr>
      <w:r w:rsidRPr="54E75C0C">
        <w:rPr>
          <w:b/>
          <w:bCs/>
          <w:sz w:val="28"/>
          <w:szCs w:val="28"/>
        </w:rPr>
        <w:t xml:space="preserve">Updates </w:t>
      </w:r>
    </w:p>
    <w:p w14:paraId="09D518ED" w14:textId="7204DA86" w:rsidR="088199F9" w:rsidRDefault="088199F9" w:rsidP="54E75C0C">
      <w:pPr>
        <w:pStyle w:val="ListParagraph"/>
        <w:numPr>
          <w:ilvl w:val="0"/>
          <w:numId w:val="3"/>
        </w:numPr>
        <w:spacing w:after="0" w:line="240" w:lineRule="auto"/>
        <w:rPr>
          <w:rFonts w:eastAsiaTheme="minorEastAsia"/>
          <w:sz w:val="28"/>
          <w:szCs w:val="28"/>
        </w:rPr>
      </w:pPr>
      <w:r w:rsidRPr="54E75C0C">
        <w:rPr>
          <w:sz w:val="28"/>
          <w:szCs w:val="28"/>
        </w:rPr>
        <w:t xml:space="preserve">Point in Time </w:t>
      </w:r>
      <w:r w:rsidR="004101C4">
        <w:rPr>
          <w:sz w:val="28"/>
          <w:szCs w:val="28"/>
        </w:rPr>
        <w:t xml:space="preserve">(PIT) </w:t>
      </w:r>
      <w:r w:rsidRPr="54E75C0C">
        <w:rPr>
          <w:sz w:val="28"/>
          <w:szCs w:val="28"/>
        </w:rPr>
        <w:t xml:space="preserve">Count </w:t>
      </w:r>
      <w:r w:rsidR="005F5B14">
        <w:rPr>
          <w:sz w:val="28"/>
          <w:szCs w:val="28"/>
        </w:rPr>
        <w:t xml:space="preserve">– </w:t>
      </w:r>
      <w:r w:rsidR="004101C4">
        <w:rPr>
          <w:sz w:val="28"/>
          <w:szCs w:val="28"/>
        </w:rPr>
        <w:t>the annual count of all persons experiencing homelessness in shelters and unsheltered usually happens at the end of every January. HUD has indicated they might postpone the unsheltered count but have not confirmed for months. We reached out to last year’s PIT count workgroup and</w:t>
      </w:r>
      <w:r w:rsidR="005F5B14">
        <w:rPr>
          <w:sz w:val="28"/>
          <w:szCs w:val="28"/>
        </w:rPr>
        <w:t xml:space="preserve"> </w:t>
      </w:r>
      <w:r w:rsidR="004101C4">
        <w:rPr>
          <w:sz w:val="28"/>
          <w:szCs w:val="28"/>
        </w:rPr>
        <w:t>the</w:t>
      </w:r>
      <w:r w:rsidR="00380BCB">
        <w:rPr>
          <w:sz w:val="28"/>
          <w:szCs w:val="28"/>
        </w:rPr>
        <w:t xml:space="preserve"> group</w:t>
      </w:r>
      <w:r w:rsidR="005F5B14">
        <w:rPr>
          <w:sz w:val="28"/>
          <w:szCs w:val="28"/>
        </w:rPr>
        <w:t xml:space="preserve"> wants to wait</w:t>
      </w:r>
      <w:r w:rsidR="004101C4">
        <w:rPr>
          <w:sz w:val="28"/>
          <w:szCs w:val="28"/>
        </w:rPr>
        <w:t xml:space="preserve"> to see what HUD decides before starting to plan a PIT count</w:t>
      </w:r>
      <w:r w:rsidR="005F5B14">
        <w:rPr>
          <w:sz w:val="28"/>
          <w:szCs w:val="28"/>
        </w:rPr>
        <w:t>,</w:t>
      </w:r>
      <w:r w:rsidR="004101C4">
        <w:rPr>
          <w:sz w:val="28"/>
          <w:szCs w:val="28"/>
        </w:rPr>
        <w:t xml:space="preserve"> although</w:t>
      </w:r>
      <w:r w:rsidR="005F5B14">
        <w:rPr>
          <w:sz w:val="28"/>
          <w:szCs w:val="28"/>
        </w:rPr>
        <w:t xml:space="preserve"> other communities have gotten started</w:t>
      </w:r>
    </w:p>
    <w:p w14:paraId="7CCAC753" w14:textId="4291D7A8" w:rsidR="4CDC55EC" w:rsidRDefault="4CDC55EC" w:rsidP="54E75C0C">
      <w:pPr>
        <w:pStyle w:val="ListParagraph"/>
        <w:numPr>
          <w:ilvl w:val="0"/>
          <w:numId w:val="3"/>
        </w:numPr>
        <w:spacing w:after="0" w:line="240" w:lineRule="auto"/>
        <w:rPr>
          <w:rFonts w:eastAsiaTheme="minorEastAsia"/>
          <w:sz w:val="28"/>
          <w:szCs w:val="28"/>
        </w:rPr>
      </w:pPr>
      <w:r w:rsidRPr="54E75C0C">
        <w:rPr>
          <w:sz w:val="28"/>
          <w:szCs w:val="28"/>
        </w:rPr>
        <w:t>HMIS Procurement</w:t>
      </w:r>
      <w:r w:rsidR="21A02097" w:rsidRPr="54E75C0C">
        <w:rPr>
          <w:sz w:val="28"/>
          <w:szCs w:val="28"/>
        </w:rPr>
        <w:t xml:space="preserve"> </w:t>
      </w:r>
      <w:r w:rsidR="005F5B14">
        <w:rPr>
          <w:sz w:val="28"/>
          <w:szCs w:val="28"/>
        </w:rPr>
        <w:t>–</w:t>
      </w:r>
      <w:r w:rsidR="004101C4">
        <w:rPr>
          <w:sz w:val="28"/>
          <w:szCs w:val="28"/>
        </w:rPr>
        <w:t xml:space="preserve">We are in the middle of procuring a new data collection system for our funded homeless service providers and unfunded partners such as local shelters and outreach projects. We </w:t>
      </w:r>
      <w:r w:rsidR="005F5B14">
        <w:rPr>
          <w:sz w:val="28"/>
          <w:szCs w:val="28"/>
        </w:rPr>
        <w:t>released</w:t>
      </w:r>
      <w:r w:rsidR="004101C4">
        <w:rPr>
          <w:sz w:val="28"/>
          <w:szCs w:val="28"/>
        </w:rPr>
        <w:t xml:space="preserve"> the</w:t>
      </w:r>
      <w:r w:rsidR="005F5B14">
        <w:rPr>
          <w:sz w:val="28"/>
          <w:szCs w:val="28"/>
        </w:rPr>
        <w:t xml:space="preserve"> </w:t>
      </w:r>
      <w:r w:rsidR="004101C4">
        <w:rPr>
          <w:sz w:val="28"/>
          <w:szCs w:val="28"/>
        </w:rPr>
        <w:t>request for proposals (</w:t>
      </w:r>
      <w:r w:rsidR="005F5B14">
        <w:rPr>
          <w:sz w:val="28"/>
          <w:szCs w:val="28"/>
        </w:rPr>
        <w:t>RFP</w:t>
      </w:r>
      <w:r w:rsidR="004101C4">
        <w:rPr>
          <w:sz w:val="28"/>
          <w:szCs w:val="28"/>
        </w:rPr>
        <w:t>)</w:t>
      </w:r>
      <w:r w:rsidR="005F5B14">
        <w:rPr>
          <w:sz w:val="28"/>
          <w:szCs w:val="28"/>
        </w:rPr>
        <w:t>! Waiting</w:t>
      </w:r>
      <w:r w:rsidR="004101C4">
        <w:rPr>
          <w:sz w:val="28"/>
          <w:szCs w:val="28"/>
        </w:rPr>
        <w:t xml:space="preserve"> phase now</w:t>
      </w:r>
      <w:r w:rsidR="005F5B14">
        <w:rPr>
          <w:sz w:val="28"/>
          <w:szCs w:val="28"/>
        </w:rPr>
        <w:t>, still a few options</w:t>
      </w:r>
      <w:r w:rsidR="004101C4">
        <w:rPr>
          <w:sz w:val="28"/>
          <w:szCs w:val="28"/>
        </w:rPr>
        <w:t xml:space="preserve"> if this doesn’t lead to a contract</w:t>
      </w:r>
      <w:r w:rsidR="005F5B14">
        <w:rPr>
          <w:sz w:val="28"/>
          <w:szCs w:val="28"/>
        </w:rPr>
        <w:t>.</w:t>
      </w:r>
    </w:p>
    <w:p w14:paraId="5C86601D" w14:textId="5C04D614" w:rsidR="21A02097" w:rsidRDefault="21A02097" w:rsidP="54E75C0C">
      <w:pPr>
        <w:pStyle w:val="ListParagraph"/>
        <w:numPr>
          <w:ilvl w:val="0"/>
          <w:numId w:val="3"/>
        </w:numPr>
        <w:spacing w:after="0" w:line="240" w:lineRule="auto"/>
        <w:rPr>
          <w:rFonts w:eastAsiaTheme="minorEastAsia"/>
          <w:sz w:val="28"/>
          <w:szCs w:val="28"/>
        </w:rPr>
      </w:pPr>
      <w:r w:rsidRPr="54E75C0C">
        <w:rPr>
          <w:sz w:val="28"/>
          <w:szCs w:val="28"/>
        </w:rPr>
        <w:t>Data Quality Work</w:t>
      </w:r>
      <w:r w:rsidR="005F5B14">
        <w:rPr>
          <w:sz w:val="28"/>
          <w:szCs w:val="28"/>
        </w:rPr>
        <w:t>- have hired a consultant to do a data quality cleanup project with a few projects and may be expanding that work</w:t>
      </w:r>
    </w:p>
    <w:p w14:paraId="2BA2810E" w14:textId="256C66CB" w:rsidR="005F5B14" w:rsidRDefault="005F5B14" w:rsidP="54E75C0C">
      <w:pPr>
        <w:pStyle w:val="ListParagraph"/>
        <w:numPr>
          <w:ilvl w:val="0"/>
          <w:numId w:val="3"/>
        </w:numPr>
        <w:spacing w:after="0" w:line="240" w:lineRule="auto"/>
        <w:rPr>
          <w:sz w:val="28"/>
          <w:szCs w:val="28"/>
        </w:rPr>
      </w:pPr>
      <w:r>
        <w:rPr>
          <w:sz w:val="28"/>
          <w:szCs w:val="28"/>
        </w:rPr>
        <w:t>HUD reporting – LSA</w:t>
      </w:r>
      <w:r w:rsidR="004101C4">
        <w:rPr>
          <w:sz w:val="28"/>
          <w:szCs w:val="28"/>
        </w:rPr>
        <w:t>, the Longitudinal Systems Analysis,</w:t>
      </w:r>
      <w:r>
        <w:rPr>
          <w:sz w:val="28"/>
          <w:szCs w:val="28"/>
        </w:rPr>
        <w:t xml:space="preserve"> is due by </w:t>
      </w:r>
      <w:r w:rsidR="004101C4">
        <w:rPr>
          <w:sz w:val="28"/>
          <w:szCs w:val="28"/>
        </w:rPr>
        <w:t xml:space="preserve">the </w:t>
      </w:r>
      <w:r>
        <w:rPr>
          <w:sz w:val="28"/>
          <w:szCs w:val="28"/>
        </w:rPr>
        <w:t>end of November, vaguely</w:t>
      </w:r>
      <w:r w:rsidR="004101C4">
        <w:rPr>
          <w:sz w:val="28"/>
          <w:szCs w:val="28"/>
        </w:rPr>
        <w:t>, there is no official due date currently. It is a system-wide report that looks at performance measures such as how many people exit a housing program to permanent housing or how many people return to homelessness after entering permanent housing.</w:t>
      </w:r>
    </w:p>
    <w:p w14:paraId="7D47E109" w14:textId="1839272A" w:rsidR="54E75C0C" w:rsidRDefault="54E75C0C" w:rsidP="54E75C0C">
      <w:pPr>
        <w:spacing w:after="0" w:line="240" w:lineRule="auto"/>
        <w:rPr>
          <w:sz w:val="28"/>
          <w:szCs w:val="28"/>
        </w:rPr>
      </w:pPr>
    </w:p>
    <w:p w14:paraId="74979CAB" w14:textId="55E896D1" w:rsidR="4CDC55EC" w:rsidRDefault="4CDC55EC" w:rsidP="54E75C0C">
      <w:pPr>
        <w:spacing w:after="0" w:line="360" w:lineRule="auto"/>
      </w:pPr>
      <w:r w:rsidRPr="54E75C0C">
        <w:rPr>
          <w:b/>
          <w:bCs/>
          <w:sz w:val="28"/>
          <w:szCs w:val="28"/>
        </w:rPr>
        <w:t>Privacy and Security Plan</w:t>
      </w:r>
    </w:p>
    <w:p w14:paraId="4AD277CC" w14:textId="336DE0EC" w:rsidR="45211D55" w:rsidRPr="004101C4" w:rsidRDefault="004101C4" w:rsidP="54E75C0C">
      <w:pPr>
        <w:pStyle w:val="ListParagraph"/>
        <w:numPr>
          <w:ilvl w:val="0"/>
          <w:numId w:val="2"/>
        </w:numPr>
        <w:spacing w:after="0" w:line="240" w:lineRule="auto"/>
        <w:rPr>
          <w:rFonts w:eastAsiaTheme="minorEastAsia"/>
          <w:sz w:val="28"/>
          <w:szCs w:val="28"/>
        </w:rPr>
      </w:pPr>
      <w:r>
        <w:rPr>
          <w:sz w:val="28"/>
          <w:szCs w:val="28"/>
        </w:rPr>
        <w:t>The remainder of the meeting was spent going through the privacy and security plan to make edits to wording and policies. A copy of the version as edited by the committee is included in the email these notes were sent out with.</w:t>
      </w:r>
    </w:p>
    <w:p w14:paraId="40005BE8" w14:textId="77777777" w:rsidR="004101C4" w:rsidRDefault="004101C4" w:rsidP="004101C4">
      <w:pPr>
        <w:pStyle w:val="ListParagraph"/>
        <w:numPr>
          <w:ilvl w:val="0"/>
          <w:numId w:val="2"/>
        </w:numPr>
        <w:spacing w:after="0" w:line="240" w:lineRule="auto"/>
        <w:rPr>
          <w:rFonts w:eastAsiaTheme="minorEastAsia"/>
          <w:sz w:val="28"/>
          <w:szCs w:val="28"/>
        </w:rPr>
      </w:pPr>
      <w:r>
        <w:rPr>
          <w:sz w:val="28"/>
          <w:szCs w:val="28"/>
        </w:rPr>
        <w:t>The f</w:t>
      </w:r>
      <w:r w:rsidRPr="54E75C0C">
        <w:rPr>
          <w:sz w:val="28"/>
          <w:szCs w:val="28"/>
        </w:rPr>
        <w:t>eedback from project staff</w:t>
      </w:r>
      <w:r>
        <w:rPr>
          <w:sz w:val="28"/>
          <w:szCs w:val="28"/>
        </w:rPr>
        <w:t xml:space="preserve"> is essentially that the plan, as it currently stands, requires too much of projects.</w:t>
      </w:r>
    </w:p>
    <w:p w14:paraId="195A8080" w14:textId="77777777" w:rsidR="004101C4" w:rsidRPr="004101C4" w:rsidRDefault="004101C4" w:rsidP="004101C4">
      <w:pPr>
        <w:spacing w:after="0" w:line="240" w:lineRule="auto"/>
        <w:rPr>
          <w:rFonts w:eastAsiaTheme="minorEastAsia"/>
          <w:sz w:val="28"/>
          <w:szCs w:val="28"/>
        </w:rPr>
      </w:pPr>
    </w:p>
    <w:p w14:paraId="054D5890" w14:textId="59F6F4F3" w:rsidR="00FD058C" w:rsidRDefault="00FD058C" w:rsidP="004101C4">
      <w:pPr>
        <w:spacing w:after="0" w:line="240" w:lineRule="auto"/>
        <w:rPr>
          <w:sz w:val="28"/>
          <w:szCs w:val="28"/>
        </w:rPr>
      </w:pPr>
      <w:r>
        <w:rPr>
          <w:sz w:val="28"/>
          <w:szCs w:val="28"/>
        </w:rPr>
        <w:t>-</w:t>
      </w:r>
      <w:r w:rsidR="0024361F" w:rsidRPr="004101C4">
        <w:rPr>
          <w:sz w:val="28"/>
          <w:szCs w:val="28"/>
        </w:rPr>
        <w:t xml:space="preserve">How often </w:t>
      </w:r>
      <w:r w:rsidR="004101C4">
        <w:rPr>
          <w:sz w:val="28"/>
          <w:szCs w:val="28"/>
        </w:rPr>
        <w:t>should projects</w:t>
      </w:r>
      <w:r w:rsidR="0024361F" w:rsidRPr="004101C4">
        <w:rPr>
          <w:sz w:val="28"/>
          <w:szCs w:val="28"/>
        </w:rPr>
        <w:t xml:space="preserve"> rev</w:t>
      </w:r>
      <w:r w:rsidR="004101C4">
        <w:rPr>
          <w:sz w:val="28"/>
          <w:szCs w:val="28"/>
        </w:rPr>
        <w:t>iew internal policies? It is currently Bi-annually. Jon points out this is very important for data security because</w:t>
      </w:r>
      <w:r w:rsidR="0024361F" w:rsidRPr="004101C4">
        <w:rPr>
          <w:sz w:val="28"/>
          <w:szCs w:val="28"/>
        </w:rPr>
        <w:t xml:space="preserve"> hackers can move</w:t>
      </w:r>
      <w:r w:rsidR="004101C4">
        <w:rPr>
          <w:sz w:val="28"/>
          <w:szCs w:val="28"/>
        </w:rPr>
        <w:t>/</w:t>
      </w:r>
      <w:r>
        <w:rPr>
          <w:sz w:val="28"/>
          <w:szCs w:val="28"/>
        </w:rPr>
        <w:t>update/learn new vulnerabilities/etc.</w:t>
      </w:r>
      <w:r w:rsidR="0024361F" w:rsidRPr="004101C4">
        <w:rPr>
          <w:sz w:val="28"/>
          <w:szCs w:val="28"/>
        </w:rPr>
        <w:t xml:space="preserve"> </w:t>
      </w:r>
      <w:r w:rsidR="004101C4">
        <w:rPr>
          <w:sz w:val="28"/>
          <w:szCs w:val="28"/>
        </w:rPr>
        <w:t>very quickly.</w:t>
      </w:r>
      <w:r w:rsidR="0024361F" w:rsidRPr="004101C4">
        <w:rPr>
          <w:sz w:val="28"/>
          <w:szCs w:val="28"/>
        </w:rPr>
        <w:t xml:space="preserve"> </w:t>
      </w:r>
    </w:p>
    <w:p w14:paraId="55716803" w14:textId="7C8AD147" w:rsidR="0024361F" w:rsidRDefault="00FD058C" w:rsidP="004101C4">
      <w:pPr>
        <w:spacing w:after="0" w:line="240" w:lineRule="auto"/>
        <w:rPr>
          <w:sz w:val="28"/>
          <w:szCs w:val="28"/>
        </w:rPr>
      </w:pPr>
      <w:r>
        <w:rPr>
          <w:sz w:val="28"/>
          <w:szCs w:val="28"/>
        </w:rPr>
        <w:t>It was brought up if this requirement</w:t>
      </w:r>
      <w:r w:rsidR="0024361F" w:rsidRPr="004101C4">
        <w:rPr>
          <w:sz w:val="28"/>
          <w:szCs w:val="28"/>
        </w:rPr>
        <w:t xml:space="preserve"> should be quarterly</w:t>
      </w:r>
      <w:r>
        <w:rPr>
          <w:sz w:val="28"/>
          <w:szCs w:val="28"/>
        </w:rPr>
        <w:t xml:space="preserve"> instead</w:t>
      </w:r>
      <w:r w:rsidR="0024361F" w:rsidRPr="004101C4">
        <w:rPr>
          <w:sz w:val="28"/>
          <w:szCs w:val="28"/>
        </w:rPr>
        <w:t xml:space="preserve">? Michele/Kathy- partner agencies probably can’t do quarterly. Sticking with </w:t>
      </w:r>
      <w:r w:rsidR="00172841" w:rsidRPr="004101C4">
        <w:rPr>
          <w:sz w:val="28"/>
          <w:szCs w:val="28"/>
        </w:rPr>
        <w:t>bi-annually</w:t>
      </w:r>
      <w:r>
        <w:rPr>
          <w:sz w:val="28"/>
          <w:szCs w:val="28"/>
        </w:rPr>
        <w:t xml:space="preserve"> as this is primarily about reviewing policies</w:t>
      </w:r>
      <w:r w:rsidR="00172841" w:rsidRPr="004101C4">
        <w:rPr>
          <w:sz w:val="28"/>
          <w:szCs w:val="28"/>
        </w:rPr>
        <w:t>. Kathy- will need to be simplified</w:t>
      </w:r>
    </w:p>
    <w:p w14:paraId="7734AA31" w14:textId="77777777" w:rsidR="004101C4" w:rsidRPr="004101C4" w:rsidRDefault="004101C4" w:rsidP="004101C4">
      <w:pPr>
        <w:spacing w:after="0" w:line="240" w:lineRule="auto"/>
        <w:rPr>
          <w:rFonts w:eastAsiaTheme="minorEastAsia"/>
          <w:sz w:val="28"/>
          <w:szCs w:val="28"/>
        </w:rPr>
      </w:pPr>
    </w:p>
    <w:p w14:paraId="2DE8707C" w14:textId="559A6852" w:rsidR="00172841" w:rsidRDefault="00CC7694" w:rsidP="00172841">
      <w:pPr>
        <w:spacing w:after="0" w:line="240" w:lineRule="auto"/>
        <w:rPr>
          <w:rFonts w:eastAsiaTheme="minorEastAsia"/>
          <w:sz w:val="28"/>
          <w:szCs w:val="28"/>
        </w:rPr>
      </w:pPr>
      <w:r>
        <w:rPr>
          <w:rFonts w:eastAsiaTheme="minorEastAsia"/>
          <w:sz w:val="28"/>
          <w:szCs w:val="28"/>
        </w:rPr>
        <w:t>-D</w:t>
      </w:r>
      <w:r w:rsidR="00FD058C">
        <w:rPr>
          <w:rFonts w:eastAsiaTheme="minorEastAsia"/>
          <w:sz w:val="28"/>
          <w:szCs w:val="28"/>
        </w:rPr>
        <w:t xml:space="preserve">iscussion about keeping this piece or not: </w:t>
      </w:r>
      <w:r w:rsidR="00172841">
        <w:rPr>
          <w:rFonts w:eastAsiaTheme="minorEastAsia"/>
          <w:sz w:val="28"/>
          <w:szCs w:val="28"/>
        </w:rPr>
        <w:t>“Collaborate with other local agencies to improve service coordination</w:t>
      </w:r>
      <w:proofErr w:type="gramStart"/>
      <w:r w:rsidR="00172841">
        <w:rPr>
          <w:rFonts w:eastAsiaTheme="minorEastAsia"/>
          <w:sz w:val="28"/>
          <w:szCs w:val="28"/>
        </w:rPr>
        <w:t>”</w:t>
      </w:r>
      <w:r w:rsidR="00FD058C">
        <w:rPr>
          <w:rFonts w:eastAsiaTheme="minorEastAsia"/>
          <w:sz w:val="28"/>
          <w:szCs w:val="28"/>
        </w:rPr>
        <w:t xml:space="preserve"> </w:t>
      </w:r>
      <w:r w:rsidR="00172841">
        <w:rPr>
          <w:rFonts w:eastAsiaTheme="minorEastAsia"/>
          <w:sz w:val="28"/>
          <w:szCs w:val="28"/>
        </w:rPr>
        <w:t>?</w:t>
      </w:r>
      <w:proofErr w:type="gramEnd"/>
      <w:r w:rsidR="00FD058C">
        <w:rPr>
          <w:rFonts w:eastAsiaTheme="minorEastAsia"/>
          <w:sz w:val="28"/>
          <w:szCs w:val="28"/>
        </w:rPr>
        <w:t xml:space="preserve"> Ka</w:t>
      </w:r>
      <w:r w:rsidR="006307FF">
        <w:rPr>
          <w:rFonts w:eastAsiaTheme="minorEastAsia"/>
          <w:sz w:val="28"/>
          <w:szCs w:val="28"/>
        </w:rPr>
        <w:t>t</w:t>
      </w:r>
      <w:r w:rsidR="00FD058C">
        <w:rPr>
          <w:rFonts w:eastAsiaTheme="minorEastAsia"/>
          <w:sz w:val="28"/>
          <w:szCs w:val="28"/>
        </w:rPr>
        <w:t>h</w:t>
      </w:r>
      <w:r w:rsidR="006307FF">
        <w:rPr>
          <w:rFonts w:eastAsiaTheme="minorEastAsia"/>
          <w:sz w:val="28"/>
          <w:szCs w:val="28"/>
        </w:rPr>
        <w:t>y,</w:t>
      </w:r>
      <w:r w:rsidR="00FD058C">
        <w:rPr>
          <w:rFonts w:eastAsiaTheme="minorEastAsia"/>
          <w:sz w:val="28"/>
          <w:szCs w:val="28"/>
        </w:rPr>
        <w:t xml:space="preserve"> points out that</w:t>
      </w:r>
      <w:r w:rsidR="006307FF">
        <w:rPr>
          <w:rFonts w:eastAsiaTheme="minorEastAsia"/>
          <w:sz w:val="28"/>
          <w:szCs w:val="28"/>
        </w:rPr>
        <w:t xml:space="preserve"> </w:t>
      </w:r>
      <w:r w:rsidR="00FD058C">
        <w:rPr>
          <w:rFonts w:eastAsiaTheme="minorEastAsia"/>
          <w:sz w:val="28"/>
          <w:szCs w:val="28"/>
        </w:rPr>
        <w:t>providers</w:t>
      </w:r>
      <w:r w:rsidR="006307FF">
        <w:rPr>
          <w:rFonts w:eastAsiaTheme="minorEastAsia"/>
          <w:sz w:val="28"/>
          <w:szCs w:val="28"/>
        </w:rPr>
        <w:t xml:space="preserve"> need to sometimes</w:t>
      </w:r>
      <w:r w:rsidR="00FD058C">
        <w:rPr>
          <w:rFonts w:eastAsiaTheme="minorEastAsia"/>
          <w:sz w:val="28"/>
          <w:szCs w:val="28"/>
        </w:rPr>
        <w:t xml:space="preserve"> disclose things</w:t>
      </w:r>
      <w:r w:rsidR="006307FF">
        <w:rPr>
          <w:rFonts w:eastAsiaTheme="minorEastAsia"/>
          <w:sz w:val="28"/>
          <w:szCs w:val="28"/>
        </w:rPr>
        <w:t xml:space="preserve"> with other local agencies, usually not without an additional disclosure</w:t>
      </w:r>
    </w:p>
    <w:p w14:paraId="54E74F01" w14:textId="001D6CC1" w:rsidR="006307FF" w:rsidRDefault="006307FF" w:rsidP="00172841">
      <w:pPr>
        <w:spacing w:after="0" w:line="240" w:lineRule="auto"/>
        <w:rPr>
          <w:rFonts w:eastAsiaTheme="minorEastAsia"/>
          <w:sz w:val="28"/>
          <w:szCs w:val="28"/>
        </w:rPr>
      </w:pPr>
      <w:r>
        <w:rPr>
          <w:rFonts w:eastAsiaTheme="minorEastAsia"/>
          <w:sz w:val="28"/>
          <w:szCs w:val="28"/>
        </w:rPr>
        <w:t>-May need to make changes to our ROI?</w:t>
      </w:r>
      <w:r w:rsidR="00FD058C">
        <w:rPr>
          <w:rFonts w:eastAsiaTheme="minorEastAsia"/>
          <w:sz w:val="28"/>
          <w:szCs w:val="28"/>
        </w:rPr>
        <w:t xml:space="preserve"> We want to keep in mind that our plan and our release of information should align (and all of our data sharing agreements). Thanks to Cynthia for going over the release as we were working on the plan!</w:t>
      </w:r>
    </w:p>
    <w:p w14:paraId="423D8730" w14:textId="4D780784" w:rsidR="006307FF" w:rsidRDefault="006307FF" w:rsidP="00172841">
      <w:pPr>
        <w:spacing w:after="0" w:line="240" w:lineRule="auto"/>
        <w:rPr>
          <w:rFonts w:eastAsiaTheme="minorEastAsia"/>
          <w:sz w:val="28"/>
          <w:szCs w:val="28"/>
        </w:rPr>
      </w:pPr>
    </w:p>
    <w:p w14:paraId="10C52CF2" w14:textId="1FA0FA04" w:rsidR="006307FF" w:rsidRDefault="00CC7694" w:rsidP="00172841">
      <w:pPr>
        <w:spacing w:after="0" w:line="240" w:lineRule="auto"/>
        <w:rPr>
          <w:rFonts w:eastAsiaTheme="minorEastAsia"/>
          <w:sz w:val="28"/>
          <w:szCs w:val="28"/>
        </w:rPr>
      </w:pPr>
      <w:r>
        <w:rPr>
          <w:rFonts w:eastAsiaTheme="minorEastAsia"/>
          <w:sz w:val="28"/>
          <w:szCs w:val="28"/>
        </w:rPr>
        <w:t>-</w:t>
      </w:r>
      <w:r w:rsidR="00FD058C">
        <w:rPr>
          <w:rFonts w:eastAsiaTheme="minorEastAsia"/>
          <w:sz w:val="28"/>
          <w:szCs w:val="28"/>
        </w:rPr>
        <w:t>One of the project staff we shared the plan with asked if there was a d</w:t>
      </w:r>
      <w:r w:rsidR="006307FF">
        <w:rPr>
          <w:rFonts w:eastAsiaTheme="minorEastAsia"/>
          <w:sz w:val="28"/>
          <w:szCs w:val="28"/>
        </w:rPr>
        <w:t>ifference between when law requires</w:t>
      </w:r>
      <w:r w:rsidR="00FD058C">
        <w:rPr>
          <w:rFonts w:eastAsiaTheme="minorEastAsia"/>
          <w:sz w:val="28"/>
          <w:szCs w:val="28"/>
        </w:rPr>
        <w:t xml:space="preserve"> the sharing of PPI</w:t>
      </w:r>
      <w:r w:rsidR="006307FF">
        <w:rPr>
          <w:rFonts w:eastAsiaTheme="minorEastAsia"/>
          <w:sz w:val="28"/>
          <w:szCs w:val="28"/>
        </w:rPr>
        <w:t xml:space="preserve"> and when a judge, law enforcement or admin agency orders?</w:t>
      </w:r>
      <w:r w:rsidR="00FD058C">
        <w:rPr>
          <w:rFonts w:eastAsiaTheme="minorEastAsia"/>
          <w:sz w:val="28"/>
          <w:szCs w:val="28"/>
        </w:rPr>
        <w:t xml:space="preserve"> The committee decided yes, o</w:t>
      </w:r>
      <w:r w:rsidR="006307FF">
        <w:rPr>
          <w:rFonts w:eastAsiaTheme="minorEastAsia"/>
          <w:sz w:val="28"/>
          <w:szCs w:val="28"/>
        </w:rPr>
        <w:t xml:space="preserve">ne is written in law, one is </w:t>
      </w:r>
      <w:r w:rsidR="00FD058C">
        <w:rPr>
          <w:rFonts w:eastAsiaTheme="minorEastAsia"/>
          <w:sz w:val="28"/>
          <w:szCs w:val="28"/>
        </w:rPr>
        <w:t xml:space="preserve">an </w:t>
      </w:r>
      <w:r w:rsidR="006307FF">
        <w:rPr>
          <w:rFonts w:eastAsiaTheme="minorEastAsia"/>
          <w:sz w:val="28"/>
          <w:szCs w:val="28"/>
        </w:rPr>
        <w:t>ad hoc order</w:t>
      </w:r>
      <w:r w:rsidR="00FD058C">
        <w:rPr>
          <w:rFonts w:eastAsiaTheme="minorEastAsia"/>
          <w:sz w:val="28"/>
          <w:szCs w:val="28"/>
        </w:rPr>
        <w:t>.</w:t>
      </w:r>
    </w:p>
    <w:p w14:paraId="2572C32D" w14:textId="0532D398" w:rsidR="00FD058C" w:rsidRDefault="00FD058C" w:rsidP="00172841">
      <w:pPr>
        <w:spacing w:after="0" w:line="240" w:lineRule="auto"/>
        <w:rPr>
          <w:rFonts w:eastAsiaTheme="minorEastAsia"/>
          <w:sz w:val="28"/>
          <w:szCs w:val="28"/>
        </w:rPr>
      </w:pPr>
      <w:r>
        <w:rPr>
          <w:rFonts w:eastAsiaTheme="minorEastAsia"/>
          <w:sz w:val="28"/>
          <w:szCs w:val="28"/>
        </w:rPr>
        <w:t xml:space="preserve">There was also debate over keeping the following reason for </w:t>
      </w:r>
      <w:r w:rsidRPr="00FD058C">
        <w:rPr>
          <w:rFonts w:eastAsiaTheme="minorEastAsia"/>
          <w:i/>
          <w:sz w:val="28"/>
          <w:szCs w:val="28"/>
        </w:rPr>
        <w:t>refusing</w:t>
      </w:r>
      <w:r>
        <w:rPr>
          <w:rFonts w:eastAsiaTheme="minorEastAsia"/>
          <w:sz w:val="28"/>
          <w:szCs w:val="28"/>
        </w:rPr>
        <w:t xml:space="preserve"> to release someone’s own PPI:</w:t>
      </w:r>
    </w:p>
    <w:p w14:paraId="2577DFBB" w14:textId="02CEC0E9" w:rsidR="006307FF" w:rsidRDefault="006307FF" w:rsidP="00172841">
      <w:pPr>
        <w:spacing w:after="0" w:line="240" w:lineRule="auto"/>
        <w:rPr>
          <w:rFonts w:eastAsiaTheme="minorEastAsia"/>
          <w:sz w:val="28"/>
          <w:szCs w:val="28"/>
        </w:rPr>
      </w:pPr>
    </w:p>
    <w:p w14:paraId="2317D1C2" w14:textId="25BCB533" w:rsidR="006307FF" w:rsidRPr="00CC7694" w:rsidRDefault="006307FF" w:rsidP="006307FF">
      <w:pPr>
        <w:numPr>
          <w:ilvl w:val="0"/>
          <w:numId w:val="4"/>
        </w:numPr>
        <w:spacing w:after="25" w:line="249" w:lineRule="auto"/>
        <w:ind w:left="720" w:right="248" w:hanging="360"/>
        <w:rPr>
          <w:rFonts w:eastAsiaTheme="minorEastAsia"/>
          <w:sz w:val="28"/>
          <w:szCs w:val="28"/>
        </w:rPr>
      </w:pPr>
      <w:r w:rsidRPr="00CC7694">
        <w:rPr>
          <w:rFonts w:eastAsiaTheme="minorEastAsia"/>
          <w:sz w:val="28"/>
          <w:szCs w:val="28"/>
        </w:rPr>
        <w:t xml:space="preserve">Information compiled in reasonable anticipation of litigation or comparable proceedings, </w:t>
      </w:r>
    </w:p>
    <w:p w14:paraId="53802CA2" w14:textId="2808B2C5" w:rsidR="00976178" w:rsidRPr="00CC7694" w:rsidRDefault="00FD058C" w:rsidP="00FD058C">
      <w:pPr>
        <w:spacing w:after="25" w:line="249" w:lineRule="auto"/>
        <w:ind w:right="248"/>
        <w:rPr>
          <w:rFonts w:eastAsiaTheme="minorEastAsia"/>
          <w:sz w:val="28"/>
          <w:szCs w:val="28"/>
        </w:rPr>
      </w:pPr>
      <w:r w:rsidRPr="00CC7694">
        <w:rPr>
          <w:rFonts w:eastAsiaTheme="minorEastAsia"/>
          <w:sz w:val="28"/>
          <w:szCs w:val="28"/>
        </w:rPr>
        <w:t>We d</w:t>
      </w:r>
      <w:r w:rsidR="00976178" w:rsidRPr="00CC7694">
        <w:rPr>
          <w:rFonts w:eastAsiaTheme="minorEastAsia"/>
          <w:sz w:val="28"/>
          <w:szCs w:val="28"/>
        </w:rPr>
        <w:t>ecided to k</w:t>
      </w:r>
      <w:r w:rsidRPr="00CC7694">
        <w:rPr>
          <w:rFonts w:eastAsiaTheme="minorEastAsia"/>
          <w:sz w:val="28"/>
          <w:szCs w:val="28"/>
        </w:rPr>
        <w:t>e</w:t>
      </w:r>
      <w:r w:rsidR="00976178" w:rsidRPr="00CC7694">
        <w:rPr>
          <w:rFonts w:eastAsiaTheme="minorEastAsia"/>
          <w:sz w:val="28"/>
          <w:szCs w:val="28"/>
        </w:rPr>
        <w:t xml:space="preserve">ep </w:t>
      </w:r>
      <w:r w:rsidRPr="00CC7694">
        <w:rPr>
          <w:rFonts w:eastAsiaTheme="minorEastAsia"/>
          <w:sz w:val="28"/>
          <w:szCs w:val="28"/>
        </w:rPr>
        <w:t xml:space="preserve">it </w:t>
      </w:r>
      <w:r w:rsidR="00976178" w:rsidRPr="00CC7694">
        <w:rPr>
          <w:rFonts w:eastAsiaTheme="minorEastAsia"/>
          <w:sz w:val="28"/>
          <w:szCs w:val="28"/>
        </w:rPr>
        <w:t>in and change to client case files</w:t>
      </w:r>
      <w:r w:rsidRPr="00CC7694">
        <w:rPr>
          <w:rFonts w:eastAsiaTheme="minorEastAsia"/>
          <w:sz w:val="28"/>
          <w:szCs w:val="28"/>
        </w:rPr>
        <w:t xml:space="preserve"> instead of PPI</w:t>
      </w:r>
      <w:r w:rsidR="00976178" w:rsidRPr="00CC7694">
        <w:rPr>
          <w:rFonts w:eastAsiaTheme="minorEastAsia"/>
          <w:sz w:val="28"/>
          <w:szCs w:val="28"/>
        </w:rPr>
        <w:t xml:space="preserve"> </w:t>
      </w:r>
      <w:proofErr w:type="gramStart"/>
      <w:r w:rsidR="00976178" w:rsidRPr="00CC7694">
        <w:rPr>
          <w:rFonts w:eastAsiaTheme="minorEastAsia"/>
          <w:sz w:val="28"/>
          <w:szCs w:val="28"/>
        </w:rPr>
        <w:t xml:space="preserve">– </w:t>
      </w:r>
      <w:r w:rsidRPr="00CC7694">
        <w:rPr>
          <w:rFonts w:eastAsiaTheme="minorEastAsia"/>
          <w:sz w:val="28"/>
          <w:szCs w:val="28"/>
        </w:rPr>
        <w:t xml:space="preserve"> but</w:t>
      </w:r>
      <w:proofErr w:type="gramEnd"/>
      <w:r w:rsidRPr="00CC7694">
        <w:rPr>
          <w:rFonts w:eastAsiaTheme="minorEastAsia"/>
          <w:sz w:val="28"/>
          <w:szCs w:val="28"/>
        </w:rPr>
        <w:t xml:space="preserve"> the consensus was to probably</w:t>
      </w:r>
      <w:r w:rsidR="00976178" w:rsidRPr="00CC7694">
        <w:rPr>
          <w:rFonts w:eastAsiaTheme="minorEastAsia"/>
          <w:sz w:val="28"/>
          <w:szCs w:val="28"/>
        </w:rPr>
        <w:t xml:space="preserve"> </w:t>
      </w:r>
      <w:r w:rsidRPr="00CC7694">
        <w:rPr>
          <w:rFonts w:eastAsiaTheme="minorEastAsia"/>
          <w:sz w:val="28"/>
          <w:szCs w:val="28"/>
        </w:rPr>
        <w:t>ask Brad.</w:t>
      </w:r>
      <w:r w:rsidR="00976178" w:rsidRPr="00CC7694">
        <w:rPr>
          <w:rFonts w:eastAsiaTheme="minorEastAsia"/>
          <w:sz w:val="28"/>
          <w:szCs w:val="28"/>
        </w:rPr>
        <w:t xml:space="preserve"> PPI vs case files</w:t>
      </w:r>
    </w:p>
    <w:p w14:paraId="7003FB5D" w14:textId="63CF0F8D" w:rsidR="004420B8" w:rsidRPr="00CC7694" w:rsidRDefault="004420B8" w:rsidP="00CF0022">
      <w:pPr>
        <w:spacing w:after="25" w:line="249" w:lineRule="auto"/>
        <w:ind w:right="248"/>
        <w:rPr>
          <w:rFonts w:eastAsiaTheme="minorEastAsia"/>
          <w:sz w:val="28"/>
          <w:szCs w:val="28"/>
        </w:rPr>
      </w:pPr>
    </w:p>
    <w:p w14:paraId="19947C4D" w14:textId="707154E9" w:rsidR="004420B8" w:rsidRPr="00CC7694" w:rsidRDefault="004420B8" w:rsidP="00CF0022">
      <w:pPr>
        <w:spacing w:after="25" w:line="249" w:lineRule="auto"/>
        <w:ind w:right="248"/>
        <w:rPr>
          <w:rFonts w:eastAsiaTheme="minorEastAsia"/>
          <w:sz w:val="28"/>
          <w:szCs w:val="28"/>
        </w:rPr>
      </w:pPr>
    </w:p>
    <w:p w14:paraId="46D35EAA" w14:textId="7DA43853" w:rsidR="004420B8" w:rsidRPr="00CC7694" w:rsidRDefault="00CC7694" w:rsidP="00CF0022">
      <w:pPr>
        <w:spacing w:after="25" w:line="249" w:lineRule="auto"/>
        <w:ind w:right="248"/>
        <w:rPr>
          <w:rFonts w:eastAsiaTheme="minorEastAsia"/>
          <w:sz w:val="28"/>
          <w:szCs w:val="28"/>
        </w:rPr>
      </w:pPr>
      <w:r>
        <w:rPr>
          <w:rFonts w:eastAsiaTheme="minorEastAsia"/>
          <w:sz w:val="28"/>
          <w:szCs w:val="28"/>
        </w:rPr>
        <w:t>-</w:t>
      </w:r>
      <w:r w:rsidR="004420B8" w:rsidRPr="00CC7694">
        <w:rPr>
          <w:rFonts w:eastAsiaTheme="minorEastAsia"/>
          <w:sz w:val="28"/>
          <w:szCs w:val="28"/>
        </w:rPr>
        <w:t>Privacy statement</w:t>
      </w:r>
      <w:r>
        <w:rPr>
          <w:rFonts w:eastAsiaTheme="minorEastAsia"/>
          <w:sz w:val="28"/>
          <w:szCs w:val="28"/>
        </w:rPr>
        <w:t xml:space="preserve"> and keeping track of changes to partner agency privacy statements</w:t>
      </w:r>
      <w:r w:rsidR="004420B8" w:rsidRPr="00CC7694">
        <w:rPr>
          <w:rFonts w:eastAsiaTheme="minorEastAsia"/>
          <w:sz w:val="28"/>
          <w:szCs w:val="28"/>
        </w:rPr>
        <w:t xml:space="preserve">- </w:t>
      </w:r>
      <w:r>
        <w:rPr>
          <w:rFonts w:eastAsiaTheme="minorEastAsia"/>
          <w:sz w:val="28"/>
          <w:szCs w:val="28"/>
        </w:rPr>
        <w:t>Kathy mentioned that it’s very difficult to</w:t>
      </w:r>
      <w:r w:rsidR="004420B8" w:rsidRPr="00CC7694">
        <w:rPr>
          <w:rFonts w:eastAsiaTheme="minorEastAsia"/>
          <w:sz w:val="28"/>
          <w:szCs w:val="28"/>
        </w:rPr>
        <w:t xml:space="preserve"> track all of the changes… maybe say that statement is available and </w:t>
      </w:r>
      <w:r>
        <w:rPr>
          <w:rFonts w:eastAsiaTheme="minorEastAsia"/>
          <w:sz w:val="28"/>
          <w:szCs w:val="28"/>
        </w:rPr>
        <w:t>prior versions may be available? Best effort to keep copies of old statements?</w:t>
      </w:r>
    </w:p>
    <w:p w14:paraId="473EE508" w14:textId="4FBBA395" w:rsidR="004420B8" w:rsidRDefault="004420B8" w:rsidP="00CF0022">
      <w:pPr>
        <w:spacing w:after="25" w:line="249" w:lineRule="auto"/>
        <w:ind w:right="248"/>
        <w:rPr>
          <w:rFonts w:eastAsiaTheme="minorEastAsia"/>
          <w:sz w:val="28"/>
          <w:szCs w:val="28"/>
        </w:rPr>
      </w:pPr>
      <w:r w:rsidRPr="00CC7694">
        <w:rPr>
          <w:rFonts w:eastAsiaTheme="minorEastAsia"/>
          <w:sz w:val="28"/>
          <w:szCs w:val="28"/>
        </w:rPr>
        <w:t>Jon</w:t>
      </w:r>
      <w:r w:rsidR="00CC7694">
        <w:rPr>
          <w:rFonts w:eastAsiaTheme="minorEastAsia"/>
          <w:sz w:val="28"/>
          <w:szCs w:val="28"/>
        </w:rPr>
        <w:t xml:space="preserve">athon suggests that </w:t>
      </w:r>
      <w:r w:rsidRPr="00CC7694">
        <w:rPr>
          <w:rFonts w:eastAsiaTheme="minorEastAsia"/>
          <w:sz w:val="28"/>
          <w:szCs w:val="28"/>
        </w:rPr>
        <w:t xml:space="preserve">moving forward, </w:t>
      </w:r>
      <w:r w:rsidR="00CC7694">
        <w:rPr>
          <w:rFonts w:eastAsiaTheme="minorEastAsia"/>
          <w:sz w:val="28"/>
          <w:szCs w:val="28"/>
        </w:rPr>
        <w:t>could</w:t>
      </w:r>
      <w:r w:rsidRPr="00CC7694">
        <w:rPr>
          <w:rFonts w:eastAsiaTheme="minorEastAsia"/>
          <w:sz w:val="28"/>
          <w:szCs w:val="28"/>
        </w:rPr>
        <w:t xml:space="preserve"> </w:t>
      </w:r>
      <w:r w:rsidR="00CC7694">
        <w:rPr>
          <w:rFonts w:eastAsiaTheme="minorEastAsia"/>
          <w:sz w:val="28"/>
          <w:szCs w:val="28"/>
        </w:rPr>
        <w:t>agencies trac</w:t>
      </w:r>
      <w:r w:rsidRPr="00CC7694">
        <w:rPr>
          <w:rFonts w:eastAsiaTheme="minorEastAsia"/>
          <w:sz w:val="28"/>
          <w:szCs w:val="28"/>
        </w:rPr>
        <w:t>k the changes? Kathy- I would have a folder going forward of each version</w:t>
      </w:r>
    </w:p>
    <w:p w14:paraId="6C7F5A7A" w14:textId="4A33A4A3" w:rsidR="00CC7694" w:rsidRPr="00CC7694" w:rsidRDefault="00CC7694" w:rsidP="00CF0022">
      <w:pPr>
        <w:spacing w:after="25" w:line="249" w:lineRule="auto"/>
        <w:ind w:right="248"/>
        <w:rPr>
          <w:rFonts w:eastAsiaTheme="minorEastAsia"/>
          <w:sz w:val="28"/>
          <w:szCs w:val="28"/>
        </w:rPr>
      </w:pPr>
      <w:r>
        <w:rPr>
          <w:rFonts w:eastAsiaTheme="minorEastAsia"/>
          <w:sz w:val="28"/>
          <w:szCs w:val="28"/>
        </w:rPr>
        <w:t>Processes may depend on agency, may come back to this.</w:t>
      </w:r>
    </w:p>
    <w:p w14:paraId="50CB520E" w14:textId="459DB219" w:rsidR="006307FF" w:rsidRDefault="006307FF" w:rsidP="00172841">
      <w:pPr>
        <w:spacing w:after="0" w:line="240" w:lineRule="auto"/>
        <w:rPr>
          <w:rFonts w:eastAsiaTheme="minorEastAsia"/>
          <w:sz w:val="28"/>
          <w:szCs w:val="28"/>
        </w:rPr>
      </w:pPr>
    </w:p>
    <w:p w14:paraId="4DC64ACA" w14:textId="2011D64B" w:rsidR="004420B8" w:rsidRDefault="00CC7694" w:rsidP="00172841">
      <w:pPr>
        <w:spacing w:after="0" w:line="240" w:lineRule="auto"/>
        <w:rPr>
          <w:rFonts w:eastAsiaTheme="minorEastAsia"/>
          <w:sz w:val="28"/>
          <w:szCs w:val="28"/>
        </w:rPr>
      </w:pPr>
      <w:r>
        <w:rPr>
          <w:rFonts w:eastAsiaTheme="minorEastAsia"/>
          <w:sz w:val="28"/>
          <w:szCs w:val="28"/>
        </w:rPr>
        <w:t xml:space="preserve">-In this plan each agency must have a </w:t>
      </w:r>
      <w:r w:rsidR="004420B8">
        <w:rPr>
          <w:rFonts w:eastAsiaTheme="minorEastAsia"/>
          <w:sz w:val="28"/>
          <w:szCs w:val="28"/>
        </w:rPr>
        <w:t>Lead Security Officer</w:t>
      </w:r>
      <w:r>
        <w:rPr>
          <w:rFonts w:eastAsiaTheme="minorEastAsia"/>
          <w:sz w:val="28"/>
          <w:szCs w:val="28"/>
        </w:rPr>
        <w:t xml:space="preserve">, as determined by HUD and the </w:t>
      </w:r>
      <w:proofErr w:type="spellStart"/>
      <w:r>
        <w:rPr>
          <w:rFonts w:eastAsiaTheme="minorEastAsia"/>
          <w:sz w:val="28"/>
          <w:szCs w:val="28"/>
        </w:rPr>
        <w:t>CoC</w:t>
      </w:r>
      <w:proofErr w:type="spellEnd"/>
      <w:r>
        <w:rPr>
          <w:rFonts w:eastAsiaTheme="minorEastAsia"/>
          <w:sz w:val="28"/>
          <w:szCs w:val="28"/>
        </w:rPr>
        <w:t xml:space="preserve"> as a whole must have a lead security officer. Michele will likely act as the </w:t>
      </w:r>
      <w:proofErr w:type="spellStart"/>
      <w:r>
        <w:rPr>
          <w:rFonts w:eastAsiaTheme="minorEastAsia"/>
          <w:sz w:val="28"/>
          <w:szCs w:val="28"/>
        </w:rPr>
        <w:t>CoC</w:t>
      </w:r>
      <w:proofErr w:type="spellEnd"/>
      <w:r>
        <w:rPr>
          <w:rFonts w:eastAsiaTheme="minorEastAsia"/>
          <w:sz w:val="28"/>
          <w:szCs w:val="28"/>
        </w:rPr>
        <w:t xml:space="preserve"> Lead Security Officer as the HMIS admin but that could change if someone else in an appropriate role volunteers.</w:t>
      </w:r>
    </w:p>
    <w:p w14:paraId="29033A79" w14:textId="1C4BFD5F" w:rsidR="004420B8" w:rsidRDefault="004420B8" w:rsidP="00172841">
      <w:pPr>
        <w:spacing w:after="0" w:line="240" w:lineRule="auto"/>
        <w:rPr>
          <w:rFonts w:eastAsiaTheme="minorEastAsia"/>
          <w:sz w:val="28"/>
          <w:szCs w:val="28"/>
        </w:rPr>
      </w:pPr>
      <w:r>
        <w:rPr>
          <w:rFonts w:eastAsiaTheme="minorEastAsia"/>
          <w:sz w:val="28"/>
          <w:szCs w:val="28"/>
        </w:rPr>
        <w:t>Partner</w:t>
      </w:r>
      <w:r w:rsidR="00CC7694">
        <w:rPr>
          <w:rFonts w:eastAsiaTheme="minorEastAsia"/>
          <w:sz w:val="28"/>
          <w:szCs w:val="28"/>
        </w:rPr>
        <w:t xml:space="preserve"> agency Security Officer- Kathy asks that the </w:t>
      </w:r>
      <w:proofErr w:type="spellStart"/>
      <w:r w:rsidR="00CC7694">
        <w:rPr>
          <w:rFonts w:eastAsiaTheme="minorEastAsia"/>
          <w:sz w:val="28"/>
          <w:szCs w:val="28"/>
        </w:rPr>
        <w:t>CoC</w:t>
      </w:r>
      <w:proofErr w:type="spellEnd"/>
      <w:r>
        <w:rPr>
          <w:rFonts w:eastAsiaTheme="minorEastAsia"/>
          <w:sz w:val="28"/>
          <w:szCs w:val="28"/>
        </w:rPr>
        <w:t xml:space="preserve"> send</w:t>
      </w:r>
      <w:r w:rsidR="00CC7694">
        <w:rPr>
          <w:rFonts w:eastAsiaTheme="minorEastAsia"/>
          <w:sz w:val="28"/>
          <w:szCs w:val="28"/>
        </w:rPr>
        <w:t>s partner agencies</w:t>
      </w:r>
      <w:r>
        <w:rPr>
          <w:rFonts w:eastAsiaTheme="minorEastAsia"/>
          <w:sz w:val="28"/>
          <w:szCs w:val="28"/>
        </w:rPr>
        <w:t xml:space="preserve"> things </w:t>
      </w:r>
      <w:r w:rsidR="00CC7694">
        <w:rPr>
          <w:rFonts w:eastAsiaTheme="minorEastAsia"/>
          <w:sz w:val="28"/>
          <w:szCs w:val="28"/>
        </w:rPr>
        <w:t>they</w:t>
      </w:r>
      <w:r>
        <w:rPr>
          <w:rFonts w:eastAsiaTheme="minorEastAsia"/>
          <w:sz w:val="28"/>
          <w:szCs w:val="28"/>
        </w:rPr>
        <w:t xml:space="preserve"> need to be thinking through, send something early, </w:t>
      </w:r>
      <w:r w:rsidR="00C9366A">
        <w:rPr>
          <w:rFonts w:eastAsiaTheme="minorEastAsia"/>
          <w:sz w:val="28"/>
          <w:szCs w:val="28"/>
        </w:rPr>
        <w:t>send guidelines</w:t>
      </w:r>
      <w:r w:rsidR="00CC7694">
        <w:rPr>
          <w:rFonts w:eastAsiaTheme="minorEastAsia"/>
          <w:sz w:val="28"/>
          <w:szCs w:val="28"/>
        </w:rPr>
        <w:t>- good reminder!</w:t>
      </w:r>
    </w:p>
    <w:p w14:paraId="1426BDE8" w14:textId="2D503AD5" w:rsidR="00C9366A" w:rsidRDefault="00C9366A" w:rsidP="00172841">
      <w:pPr>
        <w:spacing w:after="0" w:line="240" w:lineRule="auto"/>
        <w:rPr>
          <w:rFonts w:eastAsiaTheme="minorEastAsia"/>
          <w:sz w:val="28"/>
          <w:szCs w:val="28"/>
        </w:rPr>
      </w:pPr>
    </w:p>
    <w:p w14:paraId="6BD68907" w14:textId="6756C4C0" w:rsidR="00CC7694" w:rsidRDefault="00CC7694" w:rsidP="00172841">
      <w:pPr>
        <w:spacing w:after="0" w:line="240" w:lineRule="auto"/>
        <w:rPr>
          <w:rFonts w:eastAsiaTheme="minorEastAsia"/>
          <w:sz w:val="28"/>
          <w:szCs w:val="28"/>
        </w:rPr>
      </w:pPr>
      <w:r>
        <w:rPr>
          <w:rFonts w:eastAsiaTheme="minorEastAsia"/>
          <w:sz w:val="28"/>
          <w:szCs w:val="28"/>
        </w:rPr>
        <w:t>-This plan also requires a p</w:t>
      </w:r>
      <w:r w:rsidR="00C9366A">
        <w:rPr>
          <w:rFonts w:eastAsiaTheme="minorEastAsia"/>
          <w:sz w:val="28"/>
          <w:szCs w:val="28"/>
        </w:rPr>
        <w:t xml:space="preserve">artner </w:t>
      </w:r>
      <w:r>
        <w:rPr>
          <w:rFonts w:eastAsiaTheme="minorEastAsia"/>
          <w:sz w:val="28"/>
          <w:szCs w:val="28"/>
        </w:rPr>
        <w:t>agency workstation audit- Kathy mentions that</w:t>
      </w:r>
      <w:r w:rsidR="00C9366A">
        <w:rPr>
          <w:rFonts w:eastAsiaTheme="minorEastAsia"/>
          <w:sz w:val="28"/>
          <w:szCs w:val="28"/>
        </w:rPr>
        <w:t xml:space="preserve"> quarterly is too much, most important to get workstations set up right in the beginning, can we reduce workstation audits?</w:t>
      </w:r>
    </w:p>
    <w:p w14:paraId="3A261957" w14:textId="231CAEB8" w:rsidR="00C9366A" w:rsidRDefault="00CC7694" w:rsidP="00172841">
      <w:pPr>
        <w:spacing w:after="0" w:line="240" w:lineRule="auto"/>
        <w:rPr>
          <w:rFonts w:eastAsiaTheme="minorEastAsia"/>
          <w:sz w:val="28"/>
          <w:szCs w:val="28"/>
        </w:rPr>
      </w:pPr>
      <w:r>
        <w:rPr>
          <w:rFonts w:eastAsiaTheme="minorEastAsia"/>
          <w:sz w:val="28"/>
          <w:szCs w:val="28"/>
        </w:rPr>
        <w:t xml:space="preserve">Jon points out that it’s also </w:t>
      </w:r>
      <w:r w:rsidR="00C9366A">
        <w:rPr>
          <w:rFonts w:eastAsiaTheme="minorEastAsia"/>
          <w:sz w:val="28"/>
          <w:szCs w:val="28"/>
        </w:rPr>
        <w:t>very important to get these updates, from a security standpoint you’d want to make sure this happens quarterly or this leaves you open to risks</w:t>
      </w:r>
    </w:p>
    <w:p w14:paraId="03165669" w14:textId="1E679C3E" w:rsidR="00C9366A" w:rsidRDefault="00C9366A" w:rsidP="00172841">
      <w:pPr>
        <w:spacing w:after="0" w:line="240" w:lineRule="auto"/>
        <w:rPr>
          <w:rFonts w:eastAsiaTheme="minorEastAsia"/>
          <w:sz w:val="28"/>
          <w:szCs w:val="28"/>
        </w:rPr>
      </w:pPr>
      <w:r>
        <w:rPr>
          <w:rFonts w:eastAsiaTheme="minorEastAsia"/>
          <w:sz w:val="28"/>
          <w:szCs w:val="28"/>
        </w:rPr>
        <w:t>Kathy- help us and the security officer to understand this and we can get it in there</w:t>
      </w:r>
    </w:p>
    <w:p w14:paraId="07E1B05F" w14:textId="5502D876" w:rsidR="00CC7694" w:rsidRDefault="00CC7694" w:rsidP="00172841">
      <w:pPr>
        <w:spacing w:after="0" w:line="240" w:lineRule="auto"/>
        <w:rPr>
          <w:rFonts w:eastAsiaTheme="minorEastAsia"/>
          <w:sz w:val="28"/>
          <w:szCs w:val="28"/>
        </w:rPr>
      </w:pPr>
      <w:r>
        <w:rPr>
          <w:rFonts w:eastAsiaTheme="minorEastAsia"/>
          <w:sz w:val="28"/>
          <w:szCs w:val="28"/>
        </w:rPr>
        <w:t>Michele will work on a checklist and requirements for the currently theoretical workstation audits so the committee can review how much work/time it will require.</w:t>
      </w:r>
    </w:p>
    <w:p w14:paraId="693707D2" w14:textId="7F340523" w:rsidR="00D53740" w:rsidRDefault="00D53740" w:rsidP="00172841">
      <w:pPr>
        <w:spacing w:after="0" w:line="240" w:lineRule="auto"/>
        <w:rPr>
          <w:rFonts w:eastAsiaTheme="minorEastAsia"/>
          <w:sz w:val="28"/>
          <w:szCs w:val="28"/>
        </w:rPr>
      </w:pPr>
    </w:p>
    <w:p w14:paraId="09B6079B" w14:textId="661ABDC2" w:rsidR="00D53740" w:rsidRPr="00172841" w:rsidRDefault="00D53740" w:rsidP="00172841">
      <w:pPr>
        <w:spacing w:after="0" w:line="240" w:lineRule="auto"/>
        <w:rPr>
          <w:rFonts w:eastAsiaTheme="minorEastAsia"/>
          <w:sz w:val="28"/>
          <w:szCs w:val="28"/>
        </w:rPr>
      </w:pPr>
      <w:r>
        <w:rPr>
          <w:rFonts w:eastAsiaTheme="minorEastAsia"/>
          <w:sz w:val="28"/>
          <w:szCs w:val="28"/>
        </w:rPr>
        <w:t>We got a little over halfway through the document during this meeting- we’ll continue working on it in 2021 but in the meantime please feel free to send Michele additional feedback!</w:t>
      </w:r>
      <w:bookmarkStart w:id="0" w:name="_GoBack"/>
      <w:bookmarkEnd w:id="0"/>
    </w:p>
    <w:p w14:paraId="7579B92C" w14:textId="56843041" w:rsidR="00262874" w:rsidRDefault="00262874" w:rsidP="2B50E634">
      <w:pPr>
        <w:spacing w:line="360" w:lineRule="auto"/>
        <w:rPr>
          <w:b/>
          <w:bCs/>
          <w:sz w:val="28"/>
          <w:szCs w:val="28"/>
        </w:rPr>
      </w:pPr>
    </w:p>
    <w:p w14:paraId="79D2A8CD" w14:textId="08DA7F69" w:rsidR="00262874" w:rsidRDefault="00CC7694" w:rsidP="2B50E634">
      <w:pPr>
        <w:spacing w:line="360" w:lineRule="auto"/>
        <w:rPr>
          <w:b/>
          <w:bCs/>
          <w:sz w:val="28"/>
          <w:szCs w:val="28"/>
        </w:rPr>
      </w:pPr>
      <w:r>
        <w:rPr>
          <w:b/>
          <w:bCs/>
          <w:sz w:val="28"/>
          <w:szCs w:val="28"/>
        </w:rPr>
        <w:t>Our n</w:t>
      </w:r>
      <w:r w:rsidR="00262874">
        <w:rPr>
          <w:b/>
          <w:bCs/>
          <w:sz w:val="28"/>
          <w:szCs w:val="28"/>
        </w:rPr>
        <w:t>ext meeting would be January 1</w:t>
      </w:r>
      <w:r w:rsidR="00262874" w:rsidRPr="00262874">
        <w:rPr>
          <w:b/>
          <w:bCs/>
          <w:sz w:val="28"/>
          <w:szCs w:val="28"/>
          <w:vertAlign w:val="superscript"/>
        </w:rPr>
        <w:t>st</w:t>
      </w:r>
      <w:r w:rsidR="00262874">
        <w:rPr>
          <w:b/>
          <w:bCs/>
          <w:sz w:val="28"/>
          <w:szCs w:val="28"/>
        </w:rPr>
        <w:t xml:space="preserve"> at 8:30am! Michele is sending out Doodle poll to find </w:t>
      </w:r>
      <w:r w:rsidR="00FD058C">
        <w:rPr>
          <w:b/>
          <w:bCs/>
          <w:sz w:val="28"/>
          <w:szCs w:val="28"/>
        </w:rPr>
        <w:t>a new time.</w:t>
      </w:r>
    </w:p>
    <w:p w14:paraId="41309DFD" w14:textId="0129C749" w:rsidR="0024361F" w:rsidRDefault="0024361F" w:rsidP="2B50E634">
      <w:pPr>
        <w:spacing w:line="360" w:lineRule="auto"/>
        <w:rPr>
          <w:b/>
          <w:bCs/>
          <w:sz w:val="28"/>
          <w:szCs w:val="28"/>
        </w:rPr>
      </w:pPr>
    </w:p>
    <w:p w14:paraId="3ACEDCDD" w14:textId="77777777" w:rsidR="0024361F" w:rsidRDefault="0024361F" w:rsidP="2B50E634">
      <w:pPr>
        <w:spacing w:line="360" w:lineRule="auto"/>
        <w:rPr>
          <w:sz w:val="28"/>
          <w:szCs w:val="28"/>
        </w:rPr>
      </w:pPr>
    </w:p>
    <w:p w14:paraId="770070E5" w14:textId="3C22BF21" w:rsidR="700FB027" w:rsidRDefault="700FB027" w:rsidP="700FB027">
      <w:pPr>
        <w:rPr>
          <w:sz w:val="28"/>
          <w:szCs w:val="28"/>
        </w:rPr>
      </w:pPr>
    </w:p>
    <w:p w14:paraId="0A7C75CE" w14:textId="479526EB" w:rsidR="700FB027" w:rsidRDefault="700FB027" w:rsidP="700FB027">
      <w:pPr>
        <w:jc w:val="center"/>
      </w:pPr>
    </w:p>
    <w:sectPr w:rsidR="700FB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14DF7"/>
    <w:multiLevelType w:val="hybridMultilevel"/>
    <w:tmpl w:val="76C292B2"/>
    <w:lvl w:ilvl="0" w:tplc="2AEE68C6">
      <w:start w:val="1"/>
      <w:numFmt w:val="bullet"/>
      <w:lvlText w:val=""/>
      <w:lvlJc w:val="left"/>
      <w:pPr>
        <w:ind w:left="720" w:hanging="360"/>
      </w:pPr>
      <w:rPr>
        <w:rFonts w:ascii="Symbol" w:hAnsi="Symbol" w:hint="default"/>
      </w:rPr>
    </w:lvl>
    <w:lvl w:ilvl="1" w:tplc="DCF0885A">
      <w:start w:val="1"/>
      <w:numFmt w:val="bullet"/>
      <w:lvlText w:val="o"/>
      <w:lvlJc w:val="left"/>
      <w:pPr>
        <w:ind w:left="1440" w:hanging="360"/>
      </w:pPr>
      <w:rPr>
        <w:rFonts w:ascii="Courier New" w:hAnsi="Courier New" w:hint="default"/>
      </w:rPr>
    </w:lvl>
    <w:lvl w:ilvl="2" w:tplc="4CF6FB0C">
      <w:start w:val="1"/>
      <w:numFmt w:val="bullet"/>
      <w:lvlText w:val=""/>
      <w:lvlJc w:val="left"/>
      <w:pPr>
        <w:ind w:left="2160" w:hanging="360"/>
      </w:pPr>
      <w:rPr>
        <w:rFonts w:ascii="Wingdings" w:hAnsi="Wingdings" w:hint="default"/>
      </w:rPr>
    </w:lvl>
    <w:lvl w:ilvl="3" w:tplc="81C26AD6">
      <w:start w:val="1"/>
      <w:numFmt w:val="bullet"/>
      <w:lvlText w:val=""/>
      <w:lvlJc w:val="left"/>
      <w:pPr>
        <w:ind w:left="2880" w:hanging="360"/>
      </w:pPr>
      <w:rPr>
        <w:rFonts w:ascii="Symbol" w:hAnsi="Symbol" w:hint="default"/>
      </w:rPr>
    </w:lvl>
    <w:lvl w:ilvl="4" w:tplc="055269EE">
      <w:start w:val="1"/>
      <w:numFmt w:val="bullet"/>
      <w:lvlText w:val="o"/>
      <w:lvlJc w:val="left"/>
      <w:pPr>
        <w:ind w:left="3600" w:hanging="360"/>
      </w:pPr>
      <w:rPr>
        <w:rFonts w:ascii="Courier New" w:hAnsi="Courier New" w:hint="default"/>
      </w:rPr>
    </w:lvl>
    <w:lvl w:ilvl="5" w:tplc="39222132">
      <w:start w:val="1"/>
      <w:numFmt w:val="bullet"/>
      <w:lvlText w:val=""/>
      <w:lvlJc w:val="left"/>
      <w:pPr>
        <w:ind w:left="4320" w:hanging="360"/>
      </w:pPr>
      <w:rPr>
        <w:rFonts w:ascii="Wingdings" w:hAnsi="Wingdings" w:hint="default"/>
      </w:rPr>
    </w:lvl>
    <w:lvl w:ilvl="6" w:tplc="06B00D14">
      <w:start w:val="1"/>
      <w:numFmt w:val="bullet"/>
      <w:lvlText w:val=""/>
      <w:lvlJc w:val="left"/>
      <w:pPr>
        <w:ind w:left="5040" w:hanging="360"/>
      </w:pPr>
      <w:rPr>
        <w:rFonts w:ascii="Symbol" w:hAnsi="Symbol" w:hint="default"/>
      </w:rPr>
    </w:lvl>
    <w:lvl w:ilvl="7" w:tplc="FCB44844">
      <w:start w:val="1"/>
      <w:numFmt w:val="bullet"/>
      <w:lvlText w:val="o"/>
      <w:lvlJc w:val="left"/>
      <w:pPr>
        <w:ind w:left="5760" w:hanging="360"/>
      </w:pPr>
      <w:rPr>
        <w:rFonts w:ascii="Courier New" w:hAnsi="Courier New" w:hint="default"/>
      </w:rPr>
    </w:lvl>
    <w:lvl w:ilvl="8" w:tplc="EE48E032">
      <w:start w:val="1"/>
      <w:numFmt w:val="bullet"/>
      <w:lvlText w:val=""/>
      <w:lvlJc w:val="left"/>
      <w:pPr>
        <w:ind w:left="6480" w:hanging="360"/>
      </w:pPr>
      <w:rPr>
        <w:rFonts w:ascii="Wingdings" w:hAnsi="Wingdings" w:hint="default"/>
      </w:rPr>
    </w:lvl>
  </w:abstractNum>
  <w:abstractNum w:abstractNumId="1" w15:restartNumberingAfterBreak="0">
    <w:nsid w:val="1A7A78BF"/>
    <w:multiLevelType w:val="hybridMultilevel"/>
    <w:tmpl w:val="F462F02A"/>
    <w:lvl w:ilvl="0" w:tplc="060C32B8">
      <w:start w:val="1"/>
      <w:numFmt w:val="bullet"/>
      <w:lvlText w:val=""/>
      <w:lvlJc w:val="left"/>
      <w:pPr>
        <w:ind w:left="720" w:hanging="360"/>
      </w:pPr>
      <w:rPr>
        <w:rFonts w:ascii="Symbol" w:hAnsi="Symbol" w:hint="default"/>
      </w:rPr>
    </w:lvl>
    <w:lvl w:ilvl="1" w:tplc="416E8B40">
      <w:start w:val="1"/>
      <w:numFmt w:val="bullet"/>
      <w:lvlText w:val="o"/>
      <w:lvlJc w:val="left"/>
      <w:pPr>
        <w:ind w:left="1440" w:hanging="360"/>
      </w:pPr>
      <w:rPr>
        <w:rFonts w:ascii="Courier New" w:hAnsi="Courier New" w:hint="default"/>
      </w:rPr>
    </w:lvl>
    <w:lvl w:ilvl="2" w:tplc="B5D08632">
      <w:start w:val="1"/>
      <w:numFmt w:val="bullet"/>
      <w:lvlText w:val=""/>
      <w:lvlJc w:val="left"/>
      <w:pPr>
        <w:ind w:left="2160" w:hanging="360"/>
      </w:pPr>
      <w:rPr>
        <w:rFonts w:ascii="Wingdings" w:hAnsi="Wingdings" w:hint="default"/>
      </w:rPr>
    </w:lvl>
    <w:lvl w:ilvl="3" w:tplc="CEAAC886">
      <w:start w:val="1"/>
      <w:numFmt w:val="bullet"/>
      <w:lvlText w:val=""/>
      <w:lvlJc w:val="left"/>
      <w:pPr>
        <w:ind w:left="2880" w:hanging="360"/>
      </w:pPr>
      <w:rPr>
        <w:rFonts w:ascii="Symbol" w:hAnsi="Symbol" w:hint="default"/>
      </w:rPr>
    </w:lvl>
    <w:lvl w:ilvl="4" w:tplc="39FCE5BA">
      <w:start w:val="1"/>
      <w:numFmt w:val="bullet"/>
      <w:lvlText w:val="o"/>
      <w:lvlJc w:val="left"/>
      <w:pPr>
        <w:ind w:left="3600" w:hanging="360"/>
      </w:pPr>
      <w:rPr>
        <w:rFonts w:ascii="Courier New" w:hAnsi="Courier New" w:hint="default"/>
      </w:rPr>
    </w:lvl>
    <w:lvl w:ilvl="5" w:tplc="B24227DC">
      <w:start w:val="1"/>
      <w:numFmt w:val="bullet"/>
      <w:lvlText w:val=""/>
      <w:lvlJc w:val="left"/>
      <w:pPr>
        <w:ind w:left="4320" w:hanging="360"/>
      </w:pPr>
      <w:rPr>
        <w:rFonts w:ascii="Wingdings" w:hAnsi="Wingdings" w:hint="default"/>
      </w:rPr>
    </w:lvl>
    <w:lvl w:ilvl="6" w:tplc="675EFA98">
      <w:start w:val="1"/>
      <w:numFmt w:val="bullet"/>
      <w:lvlText w:val=""/>
      <w:lvlJc w:val="left"/>
      <w:pPr>
        <w:ind w:left="5040" w:hanging="360"/>
      </w:pPr>
      <w:rPr>
        <w:rFonts w:ascii="Symbol" w:hAnsi="Symbol" w:hint="default"/>
      </w:rPr>
    </w:lvl>
    <w:lvl w:ilvl="7" w:tplc="590EFF12">
      <w:start w:val="1"/>
      <w:numFmt w:val="bullet"/>
      <w:lvlText w:val="o"/>
      <w:lvlJc w:val="left"/>
      <w:pPr>
        <w:ind w:left="5760" w:hanging="360"/>
      </w:pPr>
      <w:rPr>
        <w:rFonts w:ascii="Courier New" w:hAnsi="Courier New" w:hint="default"/>
      </w:rPr>
    </w:lvl>
    <w:lvl w:ilvl="8" w:tplc="09E87A5E">
      <w:start w:val="1"/>
      <w:numFmt w:val="bullet"/>
      <w:lvlText w:val=""/>
      <w:lvlJc w:val="left"/>
      <w:pPr>
        <w:ind w:left="6480" w:hanging="360"/>
      </w:pPr>
      <w:rPr>
        <w:rFonts w:ascii="Wingdings" w:hAnsi="Wingdings" w:hint="default"/>
      </w:rPr>
    </w:lvl>
  </w:abstractNum>
  <w:abstractNum w:abstractNumId="2" w15:restartNumberingAfterBreak="0">
    <w:nsid w:val="3BD404A8"/>
    <w:multiLevelType w:val="hybridMultilevel"/>
    <w:tmpl w:val="95CAE452"/>
    <w:lvl w:ilvl="0" w:tplc="98BE5D0A">
      <w:start w:val="1"/>
      <w:numFmt w:val="decimal"/>
      <w:lvlText w:val="%1."/>
      <w:lvlJc w:val="left"/>
      <w:pPr>
        <w:ind w:left="25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C96A8D8">
      <w:start w:val="1"/>
      <w:numFmt w:val="lowerLetter"/>
      <w:lvlText w:val="%2"/>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8DA9730">
      <w:start w:val="1"/>
      <w:numFmt w:val="lowerRoman"/>
      <w:lvlText w:val="%3"/>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DBEEFCA">
      <w:start w:val="1"/>
      <w:numFmt w:val="decimal"/>
      <w:lvlText w:val="%4"/>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ED44D4E">
      <w:start w:val="1"/>
      <w:numFmt w:val="lowerLetter"/>
      <w:lvlText w:val="%5"/>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F88980A">
      <w:start w:val="1"/>
      <w:numFmt w:val="lowerRoman"/>
      <w:lvlText w:val="%6"/>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06C8BB2">
      <w:start w:val="1"/>
      <w:numFmt w:val="decimal"/>
      <w:lvlText w:val="%7"/>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E9A9140">
      <w:start w:val="1"/>
      <w:numFmt w:val="lowerLetter"/>
      <w:lvlText w:val="%8"/>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52E290A">
      <w:start w:val="1"/>
      <w:numFmt w:val="lowerRoman"/>
      <w:lvlText w:val="%9"/>
      <w:lvlJc w:val="left"/>
      <w:pPr>
        <w:ind w:left="72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0B117DA"/>
    <w:multiLevelType w:val="hybridMultilevel"/>
    <w:tmpl w:val="6F9E6358"/>
    <w:lvl w:ilvl="0" w:tplc="83D0644E">
      <w:start w:val="1"/>
      <w:numFmt w:val="bullet"/>
      <w:lvlText w:val=""/>
      <w:lvlJc w:val="left"/>
      <w:pPr>
        <w:ind w:left="720" w:hanging="360"/>
      </w:pPr>
      <w:rPr>
        <w:rFonts w:ascii="Symbol" w:hAnsi="Symbol" w:hint="default"/>
      </w:rPr>
    </w:lvl>
    <w:lvl w:ilvl="1" w:tplc="85AA3CDC">
      <w:start w:val="1"/>
      <w:numFmt w:val="bullet"/>
      <w:lvlText w:val="o"/>
      <w:lvlJc w:val="left"/>
      <w:pPr>
        <w:ind w:left="1440" w:hanging="360"/>
      </w:pPr>
      <w:rPr>
        <w:rFonts w:ascii="Courier New" w:hAnsi="Courier New" w:hint="default"/>
      </w:rPr>
    </w:lvl>
    <w:lvl w:ilvl="2" w:tplc="1908AF94">
      <w:start w:val="1"/>
      <w:numFmt w:val="bullet"/>
      <w:lvlText w:val=""/>
      <w:lvlJc w:val="left"/>
      <w:pPr>
        <w:ind w:left="2160" w:hanging="360"/>
      </w:pPr>
      <w:rPr>
        <w:rFonts w:ascii="Wingdings" w:hAnsi="Wingdings" w:hint="default"/>
      </w:rPr>
    </w:lvl>
    <w:lvl w:ilvl="3" w:tplc="6BA628D8">
      <w:start w:val="1"/>
      <w:numFmt w:val="bullet"/>
      <w:lvlText w:val=""/>
      <w:lvlJc w:val="left"/>
      <w:pPr>
        <w:ind w:left="2880" w:hanging="360"/>
      </w:pPr>
      <w:rPr>
        <w:rFonts w:ascii="Symbol" w:hAnsi="Symbol" w:hint="default"/>
      </w:rPr>
    </w:lvl>
    <w:lvl w:ilvl="4" w:tplc="450E900C">
      <w:start w:val="1"/>
      <w:numFmt w:val="bullet"/>
      <w:lvlText w:val="o"/>
      <w:lvlJc w:val="left"/>
      <w:pPr>
        <w:ind w:left="3600" w:hanging="360"/>
      </w:pPr>
      <w:rPr>
        <w:rFonts w:ascii="Courier New" w:hAnsi="Courier New" w:hint="default"/>
      </w:rPr>
    </w:lvl>
    <w:lvl w:ilvl="5" w:tplc="C00ADB6A">
      <w:start w:val="1"/>
      <w:numFmt w:val="bullet"/>
      <w:lvlText w:val=""/>
      <w:lvlJc w:val="left"/>
      <w:pPr>
        <w:ind w:left="4320" w:hanging="360"/>
      </w:pPr>
      <w:rPr>
        <w:rFonts w:ascii="Wingdings" w:hAnsi="Wingdings" w:hint="default"/>
      </w:rPr>
    </w:lvl>
    <w:lvl w:ilvl="6" w:tplc="08AAE2B0">
      <w:start w:val="1"/>
      <w:numFmt w:val="bullet"/>
      <w:lvlText w:val=""/>
      <w:lvlJc w:val="left"/>
      <w:pPr>
        <w:ind w:left="5040" w:hanging="360"/>
      </w:pPr>
      <w:rPr>
        <w:rFonts w:ascii="Symbol" w:hAnsi="Symbol" w:hint="default"/>
      </w:rPr>
    </w:lvl>
    <w:lvl w:ilvl="7" w:tplc="1AAC9EFC">
      <w:start w:val="1"/>
      <w:numFmt w:val="bullet"/>
      <w:lvlText w:val="o"/>
      <w:lvlJc w:val="left"/>
      <w:pPr>
        <w:ind w:left="5760" w:hanging="360"/>
      </w:pPr>
      <w:rPr>
        <w:rFonts w:ascii="Courier New" w:hAnsi="Courier New" w:hint="default"/>
      </w:rPr>
    </w:lvl>
    <w:lvl w:ilvl="8" w:tplc="AF664DD4">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CAA256"/>
    <w:rsid w:val="00172841"/>
    <w:rsid w:val="0024361F"/>
    <w:rsid w:val="00262874"/>
    <w:rsid w:val="00380BCB"/>
    <w:rsid w:val="004101C4"/>
    <w:rsid w:val="004420B8"/>
    <w:rsid w:val="005F5B14"/>
    <w:rsid w:val="006307FF"/>
    <w:rsid w:val="007E06BC"/>
    <w:rsid w:val="00912251"/>
    <w:rsid w:val="00976178"/>
    <w:rsid w:val="00C9366A"/>
    <w:rsid w:val="00CC7694"/>
    <w:rsid w:val="00CF0022"/>
    <w:rsid w:val="00D53740"/>
    <w:rsid w:val="00FD058C"/>
    <w:rsid w:val="032B1BED"/>
    <w:rsid w:val="04235D5D"/>
    <w:rsid w:val="07A66CC4"/>
    <w:rsid w:val="088199F9"/>
    <w:rsid w:val="0BC9C491"/>
    <w:rsid w:val="134BC979"/>
    <w:rsid w:val="17255EC8"/>
    <w:rsid w:val="17EBE625"/>
    <w:rsid w:val="1C465406"/>
    <w:rsid w:val="2013DE71"/>
    <w:rsid w:val="21A02097"/>
    <w:rsid w:val="274D351C"/>
    <w:rsid w:val="29A0A904"/>
    <w:rsid w:val="2ADCEC50"/>
    <w:rsid w:val="2B3DD237"/>
    <w:rsid w:val="2B50E634"/>
    <w:rsid w:val="2D7A8BED"/>
    <w:rsid w:val="2D9C9B1E"/>
    <w:rsid w:val="2E3470A3"/>
    <w:rsid w:val="31FE5F45"/>
    <w:rsid w:val="34402363"/>
    <w:rsid w:val="37140495"/>
    <w:rsid w:val="3FE79D76"/>
    <w:rsid w:val="40D8F176"/>
    <w:rsid w:val="4119BCE4"/>
    <w:rsid w:val="41F946C9"/>
    <w:rsid w:val="45211D55"/>
    <w:rsid w:val="47578960"/>
    <w:rsid w:val="488F6D15"/>
    <w:rsid w:val="4CCAA256"/>
    <w:rsid w:val="4CDC55EC"/>
    <w:rsid w:val="4FDFF02C"/>
    <w:rsid w:val="502533D8"/>
    <w:rsid w:val="518596FD"/>
    <w:rsid w:val="52391074"/>
    <w:rsid w:val="53A24275"/>
    <w:rsid w:val="54E75C0C"/>
    <w:rsid w:val="60E3C6C2"/>
    <w:rsid w:val="641F5C4C"/>
    <w:rsid w:val="66423285"/>
    <w:rsid w:val="6E8E874B"/>
    <w:rsid w:val="6F325B67"/>
    <w:rsid w:val="700FB027"/>
    <w:rsid w:val="7046490B"/>
    <w:rsid w:val="73D93AFF"/>
    <w:rsid w:val="76B03AB0"/>
    <w:rsid w:val="79C12625"/>
    <w:rsid w:val="7D2F399F"/>
    <w:rsid w:val="7DE816DD"/>
    <w:rsid w:val="7FC66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A256"/>
  <w15:chartTrackingRefBased/>
  <w15:docId w15:val="{3C740BF7-6CB7-4C19-9541-733C3C6C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LaFleur</dc:creator>
  <cp:keywords/>
  <dc:description/>
  <cp:lastModifiedBy>Michele LaFleur</cp:lastModifiedBy>
  <cp:revision>4</cp:revision>
  <dcterms:created xsi:type="dcterms:W3CDTF">2020-11-09T14:29:00Z</dcterms:created>
  <dcterms:modified xsi:type="dcterms:W3CDTF">2020-11-09T14:34:00Z</dcterms:modified>
</cp:coreProperties>
</file>