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74E431EC" w:rsidP="0CD4C811" w:rsidRDefault="74E431EC" w14:paraId="7A62F86D" w14:textId="74126937">
      <w:pPr>
        <w:jc w:val="center"/>
      </w:pPr>
      <w:r w:rsidR="7642E399">
        <w:rPr/>
        <w:t xml:space="preserve">Three County CoC Data Evaluation </w:t>
      </w:r>
      <w:r w:rsidR="7642E399">
        <w:rPr/>
        <w:t>Committee</w:t>
      </w:r>
    </w:p>
    <w:p w:rsidR="7642E399" w:rsidP="0CD4C811" w:rsidRDefault="7642E399" w14:paraId="116D9C0D" w14:textId="0102EE6E">
      <w:pPr>
        <w:jc w:val="center"/>
      </w:pPr>
      <w:r w:rsidR="7642E399">
        <w:rPr/>
        <w:t>2.10.25</w:t>
      </w:r>
    </w:p>
    <w:p w:rsidR="0CD4C811" w:rsidRDefault="0CD4C811" w14:paraId="5C08BDE3" w14:textId="56A33D8A"/>
    <w:p w:rsidR="106B6E7B" w:rsidRDefault="106B6E7B" w14:paraId="373E3156" w14:textId="5E73293E">
      <w:r w:rsidRPr="0CD4C811" w:rsidR="106B6E7B">
        <w:rPr>
          <w:b w:val="1"/>
          <w:bCs w:val="1"/>
        </w:rPr>
        <w:t>Present:</w:t>
      </w:r>
      <w:r w:rsidR="106B6E7B">
        <w:rPr/>
        <w:t xml:space="preserve"> </w:t>
      </w:r>
      <w:r w:rsidR="10279C4B">
        <w:rPr/>
        <w:t xml:space="preserve">Cynthia </w:t>
      </w:r>
      <w:r w:rsidR="10279C4B">
        <w:rPr/>
        <w:t>DiGeronimo</w:t>
      </w:r>
      <w:r w:rsidR="10279C4B">
        <w:rPr/>
        <w:t xml:space="preserve">, Vega Johnson, Moira </w:t>
      </w:r>
      <w:r w:rsidR="10279C4B">
        <w:rPr/>
        <w:t>Miller</w:t>
      </w:r>
      <w:r w:rsidR="10279C4B">
        <w:rPr/>
        <w:t xml:space="preserve">, Natalie </w:t>
      </w:r>
      <w:r w:rsidR="10279C4B">
        <w:rPr/>
        <w:t>Burtzos</w:t>
      </w:r>
      <w:r w:rsidR="10279C4B">
        <w:rPr/>
        <w:t>, M</w:t>
      </w:r>
      <w:r w:rsidR="74D12E0B">
        <w:rPr/>
        <w:t>i</w:t>
      </w:r>
      <w:r w:rsidR="10279C4B">
        <w:rPr/>
        <w:t>chele LaFleur, Emma Coles</w:t>
      </w:r>
    </w:p>
    <w:p w:rsidR="74E431EC" w:rsidRDefault="74E431EC" w14:paraId="6E576F6A" w14:textId="683F6B98">
      <w:r w:rsidRPr="0CD4C811" w:rsidR="7642E399">
        <w:rPr>
          <w:b w:val="1"/>
          <w:bCs w:val="1"/>
        </w:rPr>
        <w:t>Go over gaps analysis</w:t>
      </w:r>
      <w:r w:rsidRPr="0CD4C811" w:rsidR="49E2361F">
        <w:rPr>
          <w:b w:val="1"/>
          <w:bCs w:val="1"/>
        </w:rPr>
        <w:t xml:space="preserve"> </w:t>
      </w:r>
      <w:r w:rsidR="49E2361F">
        <w:rPr/>
        <w:t xml:space="preserve">– </w:t>
      </w:r>
      <w:r w:rsidR="5BC5FB4D">
        <w:rPr/>
        <w:t>results in shared slides, made recommendations to the CoC Board for the most recent CoC funding RFP- Permanent housing in Berkshire County, DV specific housing/services, and rapid rehousing</w:t>
      </w:r>
      <w:r w:rsidR="5781F2F2">
        <w:rPr/>
        <w:t xml:space="preserve"> in any region</w:t>
      </w:r>
      <w:r w:rsidR="5BC5FB4D">
        <w:rPr/>
        <w:t xml:space="preserve"> </w:t>
      </w:r>
    </w:p>
    <w:p w:rsidR="7642E399" w:rsidRDefault="7642E399" w14:paraId="1E1AAF70" w14:textId="321E7022">
      <w:r w:rsidRPr="0CD4C811" w:rsidR="7642E399">
        <w:rPr>
          <w:b w:val="1"/>
          <w:bCs w:val="1"/>
        </w:rPr>
        <w:t xml:space="preserve">CE assessment </w:t>
      </w:r>
      <w:r w:rsidRPr="0CD4C811" w:rsidR="6200D917">
        <w:rPr>
          <w:b w:val="1"/>
          <w:bCs w:val="1"/>
        </w:rPr>
        <w:t>demographic suggestions</w:t>
      </w:r>
      <w:r w:rsidR="5A9D0E69">
        <w:rPr/>
        <w:t xml:space="preserve"> – </w:t>
      </w:r>
    </w:p>
    <w:p w:rsidR="12024F8A" w:rsidRDefault="12024F8A" w14:paraId="421573B9" w14:textId="2197D7EB">
      <w:r w:rsidR="12024F8A">
        <w:rPr/>
        <w:t xml:space="preserve">List copied below is from this committee’s meeting notes where </w:t>
      </w:r>
      <w:r w:rsidR="12024F8A">
        <w:rPr/>
        <w:t>recommendations</w:t>
      </w:r>
      <w:r w:rsidR="12024F8A">
        <w:rPr/>
        <w:t xml:space="preserve"> were made for the CE assessment tool scoring:</w:t>
      </w:r>
    </w:p>
    <w:p w:rsidR="200B2DD1" w:rsidP="0CD4C811" w:rsidRDefault="200B2DD1" w14:paraId="72B8EADA" w14:textId="776F2171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D4C811" w:rsidR="200B2D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Currently:</w:t>
      </w:r>
    </w:p>
    <w:p w:rsidR="200B2DD1" w:rsidP="0CD4C811" w:rsidRDefault="200B2DD1" w14:paraId="1A774D99" w14:textId="428948FF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D4C811" w:rsidR="200B2DD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Black, African American or African</w:t>
      </w:r>
    </w:p>
    <w:p w:rsidR="200B2DD1" w:rsidP="0CD4C811" w:rsidRDefault="200B2DD1" w14:paraId="4BED7B45" w14:textId="21F99BD6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D4C811" w:rsidR="200B2DD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American Indian, Indigenous, or Alaskan Native</w:t>
      </w:r>
    </w:p>
    <w:p w:rsidR="200B2DD1" w:rsidP="0CD4C811" w:rsidRDefault="200B2DD1" w14:paraId="7C32FB00" w14:textId="5A23D8AB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D4C811" w:rsidR="200B2DD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Hispanic or Latino/a/e</w:t>
      </w:r>
    </w:p>
    <w:p w:rsidR="200B2DD1" w:rsidP="0CD4C811" w:rsidRDefault="200B2DD1" w14:paraId="2891382A" w14:textId="6AA2DAB2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D4C811" w:rsidR="200B2DD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Male</w:t>
      </w:r>
    </w:p>
    <w:p w:rsidR="200B2DD1" w:rsidP="0CD4C811" w:rsidRDefault="200B2DD1" w14:paraId="57BF5893" w14:textId="6E26DB2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D4C811" w:rsidR="200B2DD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Non-Binary</w:t>
      </w:r>
    </w:p>
    <w:p w:rsidR="200B2DD1" w:rsidP="0CD4C811" w:rsidRDefault="200B2DD1" w14:paraId="154525BD" w14:textId="012FD6AF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D4C811" w:rsidR="200B2DD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Transgender</w:t>
      </w:r>
    </w:p>
    <w:p w:rsidR="200B2DD1" w:rsidP="0CD4C811" w:rsidRDefault="200B2DD1" w14:paraId="3B4B83A6" w14:textId="483C52D4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D4C811" w:rsidR="200B2DD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LGBQ</w:t>
      </w:r>
    </w:p>
    <w:p w:rsidR="12024F8A" w:rsidP="0CD4C811" w:rsidRDefault="12024F8A" w14:paraId="52AA4FC3" w14:textId="04E1CC5F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D4C811" w:rsidR="12024F8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“Recommendations-</w:t>
      </w:r>
      <w:r w:rsidRPr="0CD4C811" w:rsidR="12024F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CD4C811" w:rsidR="12024F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combine race and ethnicity, assign two </w:t>
      </w:r>
      <w:r w:rsidRPr="0CD4C811" w:rsidR="12024F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additional</w:t>
      </w:r>
      <w:r w:rsidRPr="0CD4C811" w:rsidR="12024F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 points for each response under the following list categorized as overrepresented</w:t>
      </w:r>
      <w:r w:rsidRPr="0CD4C811" w:rsidR="12024F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12024F8A" w:rsidP="0CD4C811" w:rsidRDefault="12024F8A" w14:paraId="70C85C68" w14:textId="37B43E9D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D4C811" w:rsidR="12024F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American Indian, Alaska Native, Indigenous still overrepresented -include</w:t>
      </w:r>
    </w:p>
    <w:p w:rsidR="12024F8A" w:rsidP="0CD4C811" w:rsidRDefault="12024F8A" w14:paraId="074D3688" w14:textId="0DE95D4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D4C811" w:rsidR="12024F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Asian or Asian American still underrepresented</w:t>
      </w:r>
    </w:p>
    <w:p w:rsidR="12024F8A" w:rsidP="0CD4C811" w:rsidRDefault="12024F8A" w14:paraId="34ECE9A1" w14:textId="14CD127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D4C811" w:rsidR="12024F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Black/African American still overrepresented - include</w:t>
      </w:r>
    </w:p>
    <w:p w:rsidR="12024F8A" w:rsidP="0CD4C811" w:rsidRDefault="12024F8A" w14:paraId="55153920" w14:textId="3B14D155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D4C811" w:rsidR="12024F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Hispanic/Latino/a still overrepresented -include</w:t>
      </w:r>
    </w:p>
    <w:p w:rsidR="12024F8A" w:rsidP="0CD4C811" w:rsidRDefault="12024F8A" w14:paraId="61370C0A" w14:textId="190164C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D4C811" w:rsidR="12024F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Multi-Racial overrepresented but maybe don’t need to think about that because of including multiple race responses as multiple additional points</w:t>
      </w:r>
    </w:p>
    <w:p w:rsidR="12024F8A" w:rsidP="0CD4C811" w:rsidRDefault="12024F8A" w14:paraId="781D39CC" w14:textId="6B56F4D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D4C811" w:rsidR="12024F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Middle Eastern and North African – new response </w:t>
      </w:r>
      <w:r w:rsidRPr="0CD4C811" w:rsidR="12024F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option</w:t>
      </w:r>
      <w:r w:rsidRPr="0CD4C811" w:rsidR="12024F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as of 10/1/23, </w:t>
      </w:r>
      <w:r w:rsidRPr="0CD4C811" w:rsidR="4908A2F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not enough data yet, likely underrepresented</w:t>
      </w:r>
    </w:p>
    <w:p w:rsidR="12024F8A" w:rsidP="0CD4C811" w:rsidRDefault="12024F8A" w14:paraId="239AE39B" w14:textId="377AAC08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D4C811" w:rsidR="12024F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Remove gender as additional points for men and trans/non-binary people</w:t>
      </w:r>
    </w:p>
    <w:p w:rsidR="12024F8A" w:rsidP="0CD4C811" w:rsidRDefault="12024F8A" w14:paraId="1A670370" w14:textId="2F88C734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D4C811" w:rsidR="12024F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Trans/non-binary individuals included in LGBTQ </w:t>
      </w:r>
      <w:r w:rsidRPr="0CD4C811" w:rsidR="12024F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additional</w:t>
      </w:r>
      <w:r w:rsidRPr="0CD4C811" w:rsidR="12024F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 points based on CE assessment question”</w:t>
      </w:r>
    </w:p>
    <w:p w:rsidR="0CD4C811" w:rsidP="0CD4C811" w:rsidRDefault="0CD4C811" w14:paraId="2F3A1E9E" w14:textId="46A86A0B">
      <w:pPr>
        <w:pStyle w:val="Normal"/>
      </w:pPr>
    </w:p>
    <w:p w:rsidR="606C7459" w:rsidRDefault="606C7459" w14:paraId="058697F7" w14:textId="4080360E">
      <w:r w:rsidRPr="0CD4C811" w:rsidR="606C7459">
        <w:rPr>
          <w:b w:val="1"/>
          <w:bCs w:val="1"/>
        </w:rPr>
        <w:t xml:space="preserve">Reviewed </w:t>
      </w:r>
      <w:r w:rsidRPr="0CD4C811" w:rsidR="6200D917">
        <w:rPr>
          <w:b w:val="1"/>
          <w:bCs w:val="1"/>
        </w:rPr>
        <w:t>L</w:t>
      </w:r>
      <w:r w:rsidRPr="0CD4C811" w:rsidR="49CEF07D">
        <w:rPr>
          <w:b w:val="1"/>
          <w:bCs w:val="1"/>
        </w:rPr>
        <w:t>ongitudinal Systems Analysis (LSA)</w:t>
      </w:r>
      <w:r w:rsidRPr="0CD4C811" w:rsidR="6200D917">
        <w:rPr>
          <w:b w:val="1"/>
          <w:bCs w:val="1"/>
        </w:rPr>
        <w:t xml:space="preserve"> visualizations</w:t>
      </w:r>
      <w:r w:rsidRPr="0CD4C811" w:rsidR="0B5E59B9">
        <w:rPr>
          <w:b w:val="1"/>
          <w:bCs w:val="1"/>
        </w:rPr>
        <w:t>, screenshots</w:t>
      </w:r>
      <w:r w:rsidR="5E714B07">
        <w:rPr/>
        <w:t xml:space="preserve"> – please reach out to Michele with any questions about the LSA or Stella.</w:t>
      </w: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3282"/>
        <w:gridCol w:w="1159"/>
        <w:gridCol w:w="1159"/>
        <w:gridCol w:w="1159"/>
      </w:tblGrid>
      <w:tr w:rsidR="0CD4C811" w:rsidTr="0CD4C811" w14:paraId="7FAD04C2">
        <w:trPr>
          <w:trHeight w:val="300"/>
        </w:trPr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CD4C811" w:rsidRDefault="0CD4C811" w14:paraId="2FA1066D" w14:textId="4924C99E"/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CD4C811" w:rsidP="0CD4C811" w:rsidRDefault="0CD4C811" w14:paraId="6086CD91" w14:textId="3B28A425">
            <w:pPr>
              <w:spacing w:before="0" w:beforeAutospacing="off" w:after="0" w:afterAutospacing="off"/>
              <w:jc w:val="right"/>
            </w:pPr>
            <w:r w:rsidRPr="0CD4C811" w:rsidR="0CD4C811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2022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CD4C811" w:rsidP="0CD4C811" w:rsidRDefault="0CD4C811" w14:paraId="53047FA8" w14:textId="05F310E0">
            <w:pPr>
              <w:spacing w:before="0" w:beforeAutospacing="off" w:after="0" w:afterAutospacing="off"/>
              <w:jc w:val="right"/>
            </w:pPr>
            <w:r w:rsidRPr="0CD4C811" w:rsidR="0CD4C811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2023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CD4C811" w:rsidP="0CD4C811" w:rsidRDefault="0CD4C811" w14:paraId="39981189" w14:textId="7E557DDE">
            <w:pPr>
              <w:spacing w:before="0" w:beforeAutospacing="off" w:after="0" w:afterAutospacing="off"/>
              <w:jc w:val="right"/>
            </w:pPr>
            <w:r w:rsidRPr="0CD4C811" w:rsidR="0CD4C811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2024</w:t>
            </w:r>
          </w:p>
        </w:tc>
      </w:tr>
      <w:tr w:rsidR="0CD4C811" w:rsidTr="0CD4C811" w14:paraId="7A306518">
        <w:trPr>
          <w:trHeight w:val="300"/>
        </w:trPr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CD4C811" w:rsidP="0CD4C811" w:rsidRDefault="0CD4C811" w14:paraId="45CCB4DE" w14:textId="43BF79B6">
            <w:pPr>
              <w:spacing w:before="0" w:beforeAutospacing="off" w:after="0" w:afterAutospacing="off"/>
            </w:pPr>
            <w:r w:rsidRPr="0CD4C811" w:rsidR="0CD4C81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Households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CD4C811" w:rsidP="0CD4C811" w:rsidRDefault="0CD4C811" w14:paraId="47311A84" w14:textId="42B901C6">
            <w:pPr>
              <w:spacing w:before="0" w:beforeAutospacing="off" w:after="0" w:afterAutospacing="off"/>
              <w:jc w:val="right"/>
            </w:pPr>
            <w:r w:rsidRPr="0CD4C811" w:rsidR="0CD4C81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1032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CD4C811" w:rsidP="0CD4C811" w:rsidRDefault="0CD4C811" w14:paraId="44B772C8" w14:textId="0C5B6FC8">
            <w:pPr>
              <w:spacing w:before="0" w:beforeAutospacing="off" w:after="0" w:afterAutospacing="off"/>
              <w:jc w:val="right"/>
            </w:pPr>
            <w:r w:rsidRPr="0CD4C811" w:rsidR="0CD4C81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1365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CD4C811" w:rsidP="0CD4C811" w:rsidRDefault="0CD4C811" w14:paraId="6DA16893" w14:textId="439D1C26">
            <w:pPr>
              <w:spacing w:before="0" w:beforeAutospacing="off" w:after="0" w:afterAutospacing="off"/>
              <w:jc w:val="right"/>
            </w:pPr>
            <w:r w:rsidRPr="0CD4C811" w:rsidR="0CD4C81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1425</w:t>
            </w:r>
          </w:p>
        </w:tc>
      </w:tr>
      <w:tr w:rsidR="0CD4C811" w:rsidTr="0CD4C811" w14:paraId="7DF229F0">
        <w:trPr>
          <w:trHeight w:val="300"/>
        </w:trPr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CD4C811" w:rsidP="0CD4C811" w:rsidRDefault="0CD4C811" w14:paraId="26693A70" w14:textId="57328DCA">
            <w:pPr>
              <w:spacing w:before="0" w:beforeAutospacing="off" w:after="0" w:afterAutospacing="off"/>
            </w:pPr>
            <w:r w:rsidRPr="0CD4C811" w:rsidR="0CD4C81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Average Days Homeless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CD4C811" w:rsidP="0CD4C811" w:rsidRDefault="0CD4C811" w14:paraId="6B36E38C" w14:textId="34BB15A2">
            <w:pPr>
              <w:spacing w:before="0" w:beforeAutospacing="off" w:after="0" w:afterAutospacing="off"/>
              <w:jc w:val="right"/>
            </w:pPr>
            <w:r w:rsidRPr="0CD4C811" w:rsidR="0CD4C81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208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CD4C811" w:rsidP="0CD4C811" w:rsidRDefault="0CD4C811" w14:paraId="471AF99C" w14:textId="6B9BDA3F">
            <w:pPr>
              <w:spacing w:before="0" w:beforeAutospacing="off" w:after="0" w:afterAutospacing="off"/>
              <w:jc w:val="right"/>
            </w:pPr>
            <w:r w:rsidRPr="0CD4C811" w:rsidR="0CD4C81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205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CD4C811" w:rsidP="0CD4C811" w:rsidRDefault="0CD4C811" w14:paraId="4285BC5C" w14:textId="27CE020F">
            <w:pPr>
              <w:spacing w:before="0" w:beforeAutospacing="off" w:after="0" w:afterAutospacing="off"/>
              <w:jc w:val="right"/>
            </w:pPr>
            <w:r w:rsidRPr="0CD4C811" w:rsidR="0CD4C81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242</w:t>
            </w:r>
          </w:p>
        </w:tc>
      </w:tr>
      <w:tr w:rsidR="0CD4C811" w:rsidTr="0CD4C811" w14:paraId="307AE770">
        <w:trPr>
          <w:trHeight w:val="300"/>
        </w:trPr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CD4C811" w:rsidP="0CD4C811" w:rsidRDefault="0CD4C811" w14:paraId="6656E9CF" w14:textId="434272E6">
            <w:pPr>
              <w:spacing w:before="0" w:beforeAutospacing="off" w:after="0" w:afterAutospacing="off"/>
            </w:pPr>
            <w:r w:rsidRPr="0CD4C811" w:rsidR="0CD4C81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Exits to Permanent Housing %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CD4C811" w:rsidP="0CD4C811" w:rsidRDefault="0CD4C811" w14:paraId="52CC1FE5" w14:textId="7EC8EBD8">
            <w:pPr>
              <w:spacing w:before="0" w:beforeAutospacing="off" w:after="0" w:afterAutospacing="off"/>
              <w:jc w:val="right"/>
            </w:pPr>
            <w:r w:rsidRPr="0CD4C811" w:rsidR="0CD4C81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28%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CD4C811" w:rsidP="0CD4C811" w:rsidRDefault="0CD4C811" w14:paraId="283F04C9" w14:textId="08C8C68C">
            <w:pPr>
              <w:spacing w:before="0" w:beforeAutospacing="off" w:after="0" w:afterAutospacing="off"/>
              <w:jc w:val="right"/>
            </w:pPr>
            <w:r w:rsidRPr="0CD4C811" w:rsidR="0CD4C81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22%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CD4C811" w:rsidP="0CD4C811" w:rsidRDefault="0CD4C811" w14:paraId="0AB92F74" w14:textId="2B4DCA6A">
            <w:pPr>
              <w:spacing w:before="0" w:beforeAutospacing="off" w:after="0" w:afterAutospacing="off"/>
              <w:jc w:val="right"/>
            </w:pPr>
            <w:r w:rsidRPr="0CD4C811" w:rsidR="0CD4C81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31%</w:t>
            </w:r>
          </w:p>
        </w:tc>
      </w:tr>
      <w:tr w:rsidR="0CD4C811" w:rsidTr="0CD4C811" w14:paraId="29ADE3C8">
        <w:trPr>
          <w:trHeight w:val="300"/>
        </w:trPr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CD4C811" w:rsidP="0CD4C811" w:rsidRDefault="0CD4C811" w14:paraId="45B78559" w14:textId="55EE758B">
            <w:pPr>
              <w:spacing w:before="0" w:beforeAutospacing="off" w:after="0" w:afterAutospacing="off"/>
            </w:pPr>
            <w:r w:rsidRPr="0CD4C811" w:rsidR="0CD4C81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Returns to </w:t>
            </w:r>
            <w:r w:rsidRPr="0CD4C811" w:rsidR="0718849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Homelessness</w:t>
            </w:r>
            <w:r w:rsidRPr="0CD4C811" w:rsidR="0CD4C81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%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CD4C811" w:rsidP="0CD4C811" w:rsidRDefault="0CD4C811" w14:paraId="5D8AD81C" w14:textId="60B94B01">
            <w:pPr>
              <w:spacing w:before="0" w:beforeAutospacing="off" w:after="0" w:afterAutospacing="off"/>
              <w:jc w:val="right"/>
            </w:pPr>
            <w:r w:rsidRPr="0CD4C811" w:rsidR="0CD4C81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2%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CD4C811" w:rsidP="0CD4C811" w:rsidRDefault="0CD4C811" w14:paraId="2617DCB1" w14:textId="6611FC2F">
            <w:pPr>
              <w:spacing w:before="0" w:beforeAutospacing="off" w:after="0" w:afterAutospacing="off"/>
              <w:jc w:val="right"/>
            </w:pPr>
            <w:r w:rsidRPr="0CD4C811" w:rsidR="0CD4C81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3%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CD4C811" w:rsidP="0CD4C811" w:rsidRDefault="0CD4C811" w14:paraId="0731E739" w14:textId="54E42EAA">
            <w:pPr>
              <w:spacing w:before="0" w:beforeAutospacing="off" w:after="0" w:afterAutospacing="off"/>
              <w:jc w:val="right"/>
            </w:pPr>
            <w:r w:rsidRPr="0CD4C811" w:rsidR="0CD4C81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5%</w:t>
            </w:r>
          </w:p>
        </w:tc>
      </w:tr>
    </w:tbl>
    <w:p w:rsidR="0CD4C811" w:rsidRDefault="0CD4C811" w14:paraId="3441F71B" w14:textId="7E421873"/>
    <w:p w:rsidR="0CD4C811" w:rsidRDefault="0CD4C811" w14:paraId="7A919DF2" w14:textId="6D70F54F"/>
    <w:p w:rsidR="3E10175D" w:rsidP="0CD4C811" w:rsidRDefault="3E10175D" w14:paraId="3EA31DE1" w14:textId="5AA321B0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="3E10175D">
        <w:drawing>
          <wp:inline wp14:editId="35B7018B" wp14:anchorId="21287C3B">
            <wp:extent cx="5943600" cy="2562225"/>
            <wp:effectExtent l="0" t="0" r="0" b="0"/>
            <wp:docPr id="559935953" name="" descr="A screenshot of a system performance overview&#10;&#10;AI-generated content may be incorrect.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bb8b80612ff436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E10175D" w:rsidP="0CD4C811" w:rsidRDefault="3E10175D" w14:paraId="5ECE87C0" w14:textId="7253E286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="3E10175D">
        <w:drawing>
          <wp:inline wp14:editId="5F65DFEB" wp14:anchorId="7E827837">
            <wp:extent cx="5943600" cy="2286000"/>
            <wp:effectExtent l="0" t="0" r="0" b="0"/>
            <wp:docPr id="99345220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fe5bc49ebaf4f1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E10175D" w:rsidP="0CD4C811" w:rsidRDefault="3E10175D" w14:paraId="0B8C9A05" w14:textId="5E031D6B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="3E10175D">
        <w:drawing>
          <wp:inline wp14:editId="342DD72F" wp14:anchorId="01A359CB">
            <wp:extent cx="5943600" cy="1924050"/>
            <wp:effectExtent l="0" t="0" r="0" b="0"/>
            <wp:docPr id="11968645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4adb78feda0474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E10175D" w:rsidP="0CD4C811" w:rsidRDefault="3E10175D" w14:paraId="3E36B7A2" w14:textId="64E31984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="3E10175D">
        <w:drawing>
          <wp:inline wp14:editId="412FB6A8" wp14:anchorId="2F6A00F9">
            <wp:extent cx="5943600" cy="2390775"/>
            <wp:effectExtent l="0" t="0" r="0" b="0"/>
            <wp:docPr id="126766326" name="" descr="A green circle with white text&#10;&#10;AI-generated content may be incorrect.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f98c054ad9240b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CD4C811" w:rsidP="0CD4C811" w:rsidRDefault="0CD4C811" w14:paraId="7987A1DB" w14:textId="1BA40677">
      <w:pPr>
        <w:pStyle w:val="Normal"/>
      </w:pPr>
    </w:p>
    <w:p w:rsidR="600C755A" w:rsidP="0CD4C811" w:rsidRDefault="600C755A" w14:paraId="764D3F48" w14:textId="020010E5">
      <w:pPr>
        <w:rPr>
          <w:b w:val="1"/>
          <w:bCs w:val="1"/>
        </w:rPr>
      </w:pPr>
      <w:r w:rsidRPr="0CD4C811" w:rsidR="600C755A">
        <w:rPr>
          <w:b w:val="1"/>
          <w:bCs w:val="1"/>
        </w:rPr>
        <w:t>What do we need to do? What do we want to do?</w:t>
      </w:r>
    </w:p>
    <w:p w:rsidR="3A0B7F45" w:rsidRDefault="3A0B7F45" w14:paraId="0BD44952" w14:textId="04284A6F">
      <w:r w:rsidR="600C755A">
        <w:rPr/>
        <w:t>-</w:t>
      </w:r>
      <w:r w:rsidR="600C755A">
        <w:rPr/>
        <w:t>Don’t</w:t>
      </w:r>
      <w:r w:rsidR="600C755A">
        <w:rPr/>
        <w:t xml:space="preserve"> need to do a NOFO</w:t>
      </w:r>
    </w:p>
    <w:p w:rsidR="3F9F1C11" w:rsidRDefault="3F9F1C11" w14:paraId="1970BD07" w14:textId="295982FD">
      <w:r w:rsidR="3F9F1C11">
        <w:rPr/>
        <w:t>-Should still do a gaps analysis</w:t>
      </w:r>
    </w:p>
    <w:p w:rsidR="3A0B7F45" w:rsidP="0CD4C811" w:rsidRDefault="3A0B7F45" w14:paraId="1C0D4501" w14:textId="7B69CA76">
      <w:pPr>
        <w:pStyle w:val="Normal"/>
      </w:pPr>
    </w:p>
    <w:p w:rsidR="3F9F1C11" w:rsidP="0CD4C811" w:rsidRDefault="3F9F1C11" w14:paraId="296A72BE" w14:textId="63A4C4E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</w:rPr>
      </w:pPr>
      <w:r w:rsidRPr="0CD4C811" w:rsidR="3F9F1C11">
        <w:rPr>
          <w:b w:val="1"/>
          <w:bCs w:val="1"/>
        </w:rPr>
        <w:t>HMIS training needs</w:t>
      </w:r>
    </w:p>
    <w:p w:rsidR="14DC5FC1" w:rsidRDefault="14DC5FC1" w14:paraId="7A1DCB60" w14:textId="285FEC70">
      <w:r w:rsidR="14DC5FC1">
        <w:rPr/>
        <w:t xml:space="preserve">Moira- </w:t>
      </w:r>
      <w:r w:rsidR="0687A0C8">
        <w:rPr/>
        <w:t>Maybe have</w:t>
      </w:r>
      <w:r w:rsidR="0687A0C8">
        <w:rPr/>
        <w:t xml:space="preserve"> it only open for a month</w:t>
      </w:r>
    </w:p>
    <w:p w:rsidR="0687A0C8" w:rsidRDefault="0687A0C8" w14:paraId="3E108615" w14:textId="0CBA3188">
      <w:r w:rsidR="0687A0C8">
        <w:rPr/>
        <w:t>Natalie- then only need to worry about chasing people down every couple months instead of continuous tracking</w:t>
      </w:r>
    </w:p>
    <w:p w:rsidR="3A776932" w:rsidRDefault="3A776932" w14:paraId="7E6A22C9" w14:textId="0D5C4F67">
      <w:r w:rsidR="3A776932">
        <w:rPr/>
        <w:t>Privacy and security training – skill check quiz</w:t>
      </w:r>
    </w:p>
    <w:p w:rsidR="3357774E" w:rsidRDefault="3357774E" w14:paraId="1C36312F" w14:textId="41E079C0">
      <w:r w:rsidR="3357774E">
        <w:rPr/>
        <w:t>No matter when everyone joins, another mandatory training at the same time each year</w:t>
      </w:r>
    </w:p>
    <w:p w:rsidR="513A5C34" w:rsidRDefault="513A5C34" w14:paraId="549A1662" w14:textId="331B1D76">
      <w:r w:rsidR="513A5C34">
        <w:rPr/>
        <w:t>Adding skill check to HMIS trainings in general</w:t>
      </w:r>
    </w:p>
    <w:p w:rsidR="513A5C34" w:rsidRDefault="513A5C34" w14:paraId="73CA047F" w14:textId="20605281">
      <w:r w:rsidR="513A5C34">
        <w:rPr/>
        <w:t>Vega- review of coordinated entry assessment training, having HMIS review within that</w:t>
      </w:r>
    </w:p>
    <w:p w:rsidR="513A5C34" w:rsidRDefault="513A5C34" w14:paraId="30E514CF" w14:textId="60D7432C">
      <w:r w:rsidR="513A5C34">
        <w:rPr/>
        <w:t xml:space="preserve">Yes, </w:t>
      </w:r>
      <w:r w:rsidR="513A5C34">
        <w:rPr/>
        <w:t>let’s</w:t>
      </w:r>
      <w:r w:rsidR="513A5C34">
        <w:rPr/>
        <w:t xml:space="preserve"> plan to do that again!</w:t>
      </w:r>
    </w:p>
    <w:p w:rsidR="3A0B7F45" w:rsidRDefault="3A0B7F45" w14:paraId="30E1DAFB" w14:textId="6AC367A1"/>
    <w:p w:rsidR="30CBC601" w:rsidP="0CD4C811" w:rsidRDefault="30CBC601" w14:paraId="2982DDE5" w14:textId="17C22E5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</w:rPr>
      </w:pPr>
      <w:r w:rsidRPr="0CD4C811" w:rsidR="30CBC601">
        <w:rPr>
          <w:b w:val="1"/>
          <w:bCs w:val="1"/>
        </w:rPr>
        <w:t>HMIS Inventory Module</w:t>
      </w:r>
    </w:p>
    <w:p w:rsidR="0660EAFA" w:rsidP="0CD4C811" w:rsidRDefault="0660EAFA" w14:paraId="098B3B79" w14:textId="2C73432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  <w:r w:rsidR="0660EAFA">
        <w:rPr>
          <w:b w:val="0"/>
          <w:bCs w:val="0"/>
        </w:rPr>
        <w:t xml:space="preserve">Our HMIS has </w:t>
      </w:r>
      <w:r w:rsidR="0660EAFA">
        <w:rPr>
          <w:b w:val="0"/>
          <w:bCs w:val="0"/>
        </w:rPr>
        <w:t>an option</w:t>
      </w:r>
      <w:r w:rsidR="0660EAFA">
        <w:rPr>
          <w:b w:val="0"/>
          <w:bCs w:val="0"/>
        </w:rPr>
        <w:t xml:space="preserve"> for us to</w:t>
      </w:r>
      <w:r w:rsidR="1B64FE89">
        <w:rPr>
          <w:b w:val="0"/>
          <w:bCs w:val="0"/>
        </w:rPr>
        <w:t xml:space="preserve"> build out the </w:t>
      </w:r>
      <w:r w:rsidR="1B64FE89">
        <w:rPr>
          <w:b w:val="0"/>
          <w:bCs w:val="0"/>
        </w:rPr>
        <w:t>builds</w:t>
      </w:r>
      <w:r w:rsidR="1B64FE89">
        <w:rPr>
          <w:b w:val="0"/>
          <w:bCs w:val="0"/>
        </w:rPr>
        <w:t xml:space="preserve"> and units and beds within our CoC and then ask programs to enroll clients in specific units and beds in addition to programs. This helps get a better sense of current inventory and updates the CoC automatically when a bed or unit </w:t>
      </w:r>
      <w:r w:rsidR="28E9391A">
        <w:rPr>
          <w:b w:val="0"/>
          <w:bCs w:val="0"/>
        </w:rPr>
        <w:t xml:space="preserve">is now available for case </w:t>
      </w:r>
      <w:r w:rsidR="28E9391A">
        <w:rPr>
          <w:b w:val="0"/>
          <w:bCs w:val="0"/>
        </w:rPr>
        <w:t>conferencing</w:t>
      </w:r>
      <w:r w:rsidR="28E9391A">
        <w:rPr>
          <w:b w:val="0"/>
          <w:bCs w:val="0"/>
        </w:rPr>
        <w:t xml:space="preserve"> referrals.</w:t>
      </w:r>
    </w:p>
    <w:p w:rsidR="2FC4A0D5" w:rsidRDefault="2FC4A0D5" w14:paraId="6EEB0693" w14:textId="5FD4BBA4">
      <w:r w:rsidR="2FC4A0D5">
        <w:rPr/>
        <w:t>Possible business</w:t>
      </w:r>
      <w:r w:rsidR="2FC4A0D5">
        <w:rPr/>
        <w:t xml:space="preserve"> </w:t>
      </w:r>
      <w:r w:rsidR="6D66DCB7">
        <w:rPr/>
        <w:t>manager</w:t>
      </w:r>
      <w:r w:rsidR="2FC4A0D5">
        <w:rPr/>
        <w:t xml:space="preserve"> integration</w:t>
      </w:r>
      <w:r w:rsidR="6E68BC06">
        <w:rPr/>
        <w:t xml:space="preserve"> – can set costs by inventory</w:t>
      </w:r>
    </w:p>
    <w:p w:rsidR="2FC4A0D5" w:rsidRDefault="2FC4A0D5" w14:paraId="5D828036" w14:textId="596E9644">
      <w:r w:rsidR="2FC4A0D5">
        <w:rPr/>
        <w:t xml:space="preserve">Moira- we have youth bedding at the flood house, the only issue would be they tend to </w:t>
      </w:r>
      <w:r w:rsidR="095E5836">
        <w:rPr/>
        <w:t>be</w:t>
      </w:r>
      <w:r w:rsidR="2FC4A0D5">
        <w:rPr/>
        <w:t xml:space="preserve"> al</w:t>
      </w:r>
      <w:r w:rsidR="379564BA">
        <w:rPr/>
        <w:t>l</w:t>
      </w:r>
      <w:r w:rsidR="2FC4A0D5">
        <w:rPr/>
        <w:t xml:space="preserve"> male or all female, so if two </w:t>
      </w:r>
      <w:r w:rsidR="2FC4A0D5">
        <w:rPr/>
        <w:t>male</w:t>
      </w:r>
      <w:r w:rsidR="2FC4A0D5">
        <w:rPr/>
        <w:t xml:space="preserve"> were to </w:t>
      </w:r>
      <w:r w:rsidR="2FC4A0D5">
        <w:rPr/>
        <w:t>leave</w:t>
      </w:r>
      <w:r w:rsidR="2FC4A0D5">
        <w:rPr/>
        <w:t xml:space="preserve"> </w:t>
      </w:r>
      <w:r w:rsidR="2FC4A0D5">
        <w:rPr/>
        <w:t>we’d</w:t>
      </w:r>
      <w:r w:rsidR="2FC4A0D5">
        <w:rPr/>
        <w:t xml:space="preserve"> have 2 beds</w:t>
      </w:r>
    </w:p>
    <w:p w:rsidR="142D6018" w:rsidRDefault="142D6018" w14:paraId="42A38D58" w14:textId="5632A940">
      <w:r w:rsidR="142D6018">
        <w:rPr/>
        <w:t xml:space="preserve">If </w:t>
      </w:r>
      <w:r w:rsidR="142D6018">
        <w:rPr/>
        <w:t>we’re</w:t>
      </w:r>
      <w:r w:rsidR="142D6018">
        <w:rPr/>
        <w:t xml:space="preserve"> </w:t>
      </w:r>
      <w:r w:rsidR="142D6018">
        <w:rPr/>
        <w:t>moving</w:t>
      </w:r>
      <w:r w:rsidR="142D6018">
        <w:rPr/>
        <w:t xml:space="preserve"> </w:t>
      </w:r>
      <w:r w:rsidR="0A75D79C">
        <w:rPr/>
        <w:t xml:space="preserve">someone there might </w:t>
      </w:r>
      <w:r w:rsidR="0A75D79C">
        <w:rPr/>
        <w:t xml:space="preserve">be </w:t>
      </w:r>
      <w:r w:rsidR="000C46B3">
        <w:rPr/>
        <w:t>have</w:t>
      </w:r>
      <w:r w:rsidR="000C46B3">
        <w:rPr/>
        <w:t xml:space="preserve"> </w:t>
      </w:r>
      <w:r w:rsidR="576F042D">
        <w:rPr/>
        <w:t xml:space="preserve">some time when beds </w:t>
      </w:r>
      <w:r w:rsidR="576F042D">
        <w:rPr/>
        <w:t>aren’t</w:t>
      </w:r>
      <w:r w:rsidR="576F042D">
        <w:rPr/>
        <w:t xml:space="preserve"> in use but </w:t>
      </w:r>
      <w:r w:rsidR="576F042D">
        <w:rPr/>
        <w:t>aren’t</w:t>
      </w:r>
      <w:r w:rsidR="576F042D">
        <w:rPr/>
        <w:t xml:space="preserve"> ready yet</w:t>
      </w:r>
    </w:p>
    <w:p w:rsidR="3C8C6834" w:rsidRDefault="3C8C6834" w14:paraId="711C0F91" w14:textId="3B7E7FDB">
      <w:r w:rsidR="3C8C6834">
        <w:rPr/>
        <w:t xml:space="preserve">The inventory module has ways to say that beds or units are ‘offline’ temporarily even if </w:t>
      </w:r>
      <w:r w:rsidR="3C8C6834">
        <w:rPr/>
        <w:t>they’re</w:t>
      </w:r>
      <w:r w:rsidR="3C8C6834">
        <w:rPr/>
        <w:t xml:space="preserve"> not in use for situations where a unit has been vacated but needs time before </w:t>
      </w:r>
      <w:r w:rsidR="3C8C6834">
        <w:rPr/>
        <w:t>it’s</w:t>
      </w:r>
      <w:r w:rsidR="3C8C6834">
        <w:rPr/>
        <w:t xml:space="preserve"> ready for another </w:t>
      </w:r>
      <w:r w:rsidR="3C8C6834">
        <w:rPr/>
        <w:t>tenant</w:t>
      </w:r>
      <w:r w:rsidR="3C8C6834">
        <w:rPr/>
        <w:t>.</w:t>
      </w:r>
    </w:p>
    <w:p w:rsidR="3A0B7F45" w:rsidRDefault="3A0B7F45" w14:paraId="33986F4D" w14:textId="764C1146">
      <w:r w:rsidR="000C46B3">
        <w:rPr/>
        <w:t xml:space="preserve">Natalie- some projects </w:t>
      </w:r>
      <w:r w:rsidR="000C46B3">
        <w:rPr/>
        <w:t>won’t</w:t>
      </w:r>
      <w:r w:rsidR="000C46B3">
        <w:rPr/>
        <w:t xml:space="preserve"> be hit hard by this as they </w:t>
      </w:r>
      <w:r w:rsidR="000C46B3">
        <w:rPr/>
        <w:t>don’t</w:t>
      </w:r>
      <w:r w:rsidR="000C46B3">
        <w:rPr/>
        <w:t xml:space="preserve"> have much </w:t>
      </w:r>
      <w:r w:rsidR="000C46B3">
        <w:rPr/>
        <w:t>turnover</w:t>
      </w:r>
      <w:r w:rsidR="000C46B3">
        <w:rPr/>
        <w:t xml:space="preserve"> but some may be more affected like Louison House</w:t>
      </w:r>
    </w:p>
    <w:p w:rsidR="46EF6567" w:rsidRDefault="46EF6567" w14:paraId="7A97442D" w14:textId="0E23287A">
      <w:r w:rsidR="46EF6567">
        <w:rPr/>
        <w:t xml:space="preserve">Natalie- </w:t>
      </w:r>
      <w:r w:rsidR="238E37AB">
        <w:rPr/>
        <w:t>probably</w:t>
      </w:r>
      <w:r w:rsidR="46EF6567">
        <w:rPr/>
        <w:t xml:space="preserve"> only</w:t>
      </w:r>
      <w:r w:rsidR="390DD0DC">
        <w:rPr/>
        <w:t xml:space="preserve"> relevant</w:t>
      </w:r>
      <w:r w:rsidR="46EF6567">
        <w:rPr/>
        <w:t xml:space="preserve"> for certain kinds of projects</w:t>
      </w:r>
      <w:r w:rsidR="220C2FFB">
        <w:rPr/>
        <w:t xml:space="preserve">, not </w:t>
      </w:r>
      <w:r w:rsidR="10F19EC2">
        <w:rPr/>
        <w:t xml:space="preserve">emergency </w:t>
      </w:r>
      <w:r w:rsidR="220C2FFB">
        <w:rPr/>
        <w:t>shelters</w:t>
      </w:r>
    </w:p>
    <w:p w:rsidR="5AD10121" w:rsidRDefault="5AD10121" w14:paraId="1DD64C2F" w14:textId="0F79FFD5">
      <w:r w:rsidR="5AD10121">
        <w:rPr/>
        <w:t>Cy</w:t>
      </w:r>
      <w:r w:rsidR="525F9402">
        <w:rPr/>
        <w:t>n</w:t>
      </w:r>
      <w:r w:rsidR="5AD10121">
        <w:rPr/>
        <w:t>thia- what would the value be for the CoC</w:t>
      </w:r>
      <w:r w:rsidR="79DE8FA3">
        <w:rPr/>
        <w:t>?</w:t>
      </w:r>
    </w:p>
    <w:p w:rsidR="5AD10121" w:rsidRDefault="5AD10121" w14:paraId="466DAE7A" w14:textId="49D5FDEF">
      <w:r w:rsidR="5AD10121">
        <w:rPr/>
        <w:t xml:space="preserve">Natalie- would help us run reports on projects and track where housing is concentrated. Give us more insight into things like that. </w:t>
      </w:r>
      <w:r w:rsidR="5AD10121">
        <w:rPr/>
        <w:t>It’s</w:t>
      </w:r>
      <w:r w:rsidR="5AD10121">
        <w:rPr/>
        <w:t xml:space="preserve"> a lot of upfront work, some added step but more of an </w:t>
      </w:r>
      <w:r w:rsidR="5AD10121">
        <w:rPr/>
        <w:t>upfron</w:t>
      </w:r>
      <w:r w:rsidR="09762826">
        <w:rPr/>
        <w:t>t</w:t>
      </w:r>
      <w:r w:rsidR="5AD10121">
        <w:rPr/>
        <w:t xml:space="preserve"> investment and gathering data </w:t>
      </w:r>
    </w:p>
    <w:p w:rsidR="3A0B7F45" w:rsidRDefault="3A0B7F45" w14:paraId="7E08ADA2" w14:textId="318AAF1B">
      <w:r w:rsidR="27DAF5FC">
        <w:rPr/>
        <w:t xml:space="preserve">Planning to </w:t>
      </w:r>
      <w:r w:rsidR="2D548BB0">
        <w:rPr/>
        <w:t>a</w:t>
      </w:r>
      <w:r w:rsidR="385AEFF8">
        <w:rPr/>
        <w:t xml:space="preserve">sk </w:t>
      </w:r>
      <w:r w:rsidR="4B6AD1AD">
        <w:rPr/>
        <w:t>Jack</w:t>
      </w:r>
      <w:r w:rsidR="385AEFF8">
        <w:rPr/>
        <w:t xml:space="preserve"> </w:t>
      </w:r>
      <w:r w:rsidR="082ABCA5">
        <w:rPr/>
        <w:t>M</w:t>
      </w:r>
      <w:r w:rsidR="385AEFF8">
        <w:rPr/>
        <w:t xml:space="preserve">oran from </w:t>
      </w:r>
      <w:r w:rsidR="772A36AF">
        <w:rPr/>
        <w:t>Worcester</w:t>
      </w:r>
      <w:r w:rsidR="385AEFF8">
        <w:rPr/>
        <w:t xml:space="preserve"> CoC </w:t>
      </w:r>
      <w:r w:rsidR="10D6AFA7">
        <w:rPr/>
        <w:t>on the use of the</w:t>
      </w:r>
      <w:r w:rsidR="385AEFF8">
        <w:rPr/>
        <w:t xml:space="preserve"> </w:t>
      </w:r>
      <w:r w:rsidR="385AEFF8">
        <w:rPr/>
        <w:t>inventory module</w:t>
      </w:r>
      <w:r w:rsidR="516107EF">
        <w:rPr/>
        <w:t xml:space="preserve"> there</w:t>
      </w:r>
    </w:p>
    <w:p w:rsidR="3A0B7F45" w:rsidRDefault="3A0B7F45" w14:paraId="67F1F31E" w14:textId="35A79DE1"/>
    <w:p w:rsidR="3A0B7F45" w:rsidRDefault="3A0B7F45" w14:paraId="083B6C00" w14:textId="6A3D8435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DF9A5C"/>
    <w:rsid w:val="000C46B3"/>
    <w:rsid w:val="00AE0B3D"/>
    <w:rsid w:val="00BB4128"/>
    <w:rsid w:val="01E579B0"/>
    <w:rsid w:val="0353B1F2"/>
    <w:rsid w:val="0353B1F2"/>
    <w:rsid w:val="043B175E"/>
    <w:rsid w:val="04BD89F8"/>
    <w:rsid w:val="057C2BF3"/>
    <w:rsid w:val="0660EAFA"/>
    <w:rsid w:val="0687A0C8"/>
    <w:rsid w:val="0718849B"/>
    <w:rsid w:val="082ABCA5"/>
    <w:rsid w:val="095E5836"/>
    <w:rsid w:val="09762826"/>
    <w:rsid w:val="0A6A12C0"/>
    <w:rsid w:val="0A75D79C"/>
    <w:rsid w:val="0B5E59B9"/>
    <w:rsid w:val="0BB332B4"/>
    <w:rsid w:val="0CD4C811"/>
    <w:rsid w:val="0DC1A6F3"/>
    <w:rsid w:val="0E681588"/>
    <w:rsid w:val="0EEAC028"/>
    <w:rsid w:val="0EFED468"/>
    <w:rsid w:val="0F795431"/>
    <w:rsid w:val="0F795431"/>
    <w:rsid w:val="10279C4B"/>
    <w:rsid w:val="106B6E7B"/>
    <w:rsid w:val="10D6AFA7"/>
    <w:rsid w:val="10F19EC2"/>
    <w:rsid w:val="1103A67A"/>
    <w:rsid w:val="11528AA0"/>
    <w:rsid w:val="12024F8A"/>
    <w:rsid w:val="142D6018"/>
    <w:rsid w:val="148F5F71"/>
    <w:rsid w:val="14A84AA3"/>
    <w:rsid w:val="14DC5FC1"/>
    <w:rsid w:val="14EF26BF"/>
    <w:rsid w:val="18A389D9"/>
    <w:rsid w:val="196BBEAD"/>
    <w:rsid w:val="1B2DBC34"/>
    <w:rsid w:val="1B64FE89"/>
    <w:rsid w:val="1C0D2081"/>
    <w:rsid w:val="1C827EC8"/>
    <w:rsid w:val="1C827EC8"/>
    <w:rsid w:val="1CCDADB2"/>
    <w:rsid w:val="1CE5AB69"/>
    <w:rsid w:val="200B2DD1"/>
    <w:rsid w:val="20D4C5BE"/>
    <w:rsid w:val="21E94097"/>
    <w:rsid w:val="220C2FFB"/>
    <w:rsid w:val="229EABFB"/>
    <w:rsid w:val="232FF81F"/>
    <w:rsid w:val="238E37AB"/>
    <w:rsid w:val="267AA11C"/>
    <w:rsid w:val="2740CF22"/>
    <w:rsid w:val="27DAF5FC"/>
    <w:rsid w:val="281C4AEF"/>
    <w:rsid w:val="28E9391A"/>
    <w:rsid w:val="2AF0FB49"/>
    <w:rsid w:val="2B725D4D"/>
    <w:rsid w:val="2BF75987"/>
    <w:rsid w:val="2D548BB0"/>
    <w:rsid w:val="2F39BA9C"/>
    <w:rsid w:val="2FC4A0D5"/>
    <w:rsid w:val="303C4765"/>
    <w:rsid w:val="305114CE"/>
    <w:rsid w:val="30CBC601"/>
    <w:rsid w:val="323F8896"/>
    <w:rsid w:val="3357774E"/>
    <w:rsid w:val="36BA0C14"/>
    <w:rsid w:val="373CA8A3"/>
    <w:rsid w:val="379564BA"/>
    <w:rsid w:val="385AEFF8"/>
    <w:rsid w:val="38D7BE12"/>
    <w:rsid w:val="390DD0DC"/>
    <w:rsid w:val="39D73600"/>
    <w:rsid w:val="3A0B7F45"/>
    <w:rsid w:val="3A776932"/>
    <w:rsid w:val="3AD1E820"/>
    <w:rsid w:val="3B31DC31"/>
    <w:rsid w:val="3C5D43BB"/>
    <w:rsid w:val="3C8C6834"/>
    <w:rsid w:val="3DB90D25"/>
    <w:rsid w:val="3E10175D"/>
    <w:rsid w:val="3E8A086F"/>
    <w:rsid w:val="3EE91A92"/>
    <w:rsid w:val="3F0019C6"/>
    <w:rsid w:val="3F9F1C11"/>
    <w:rsid w:val="432A888A"/>
    <w:rsid w:val="43596009"/>
    <w:rsid w:val="44661F24"/>
    <w:rsid w:val="46EF6567"/>
    <w:rsid w:val="47772A78"/>
    <w:rsid w:val="4908A2F5"/>
    <w:rsid w:val="49CEF07D"/>
    <w:rsid w:val="49E2361F"/>
    <w:rsid w:val="4B6AD1AD"/>
    <w:rsid w:val="4E5ECC11"/>
    <w:rsid w:val="513A5C34"/>
    <w:rsid w:val="51419B4F"/>
    <w:rsid w:val="514E7BC2"/>
    <w:rsid w:val="516107EF"/>
    <w:rsid w:val="518742B7"/>
    <w:rsid w:val="51F804AE"/>
    <w:rsid w:val="525F9402"/>
    <w:rsid w:val="52FF78BE"/>
    <w:rsid w:val="54237B21"/>
    <w:rsid w:val="544F6390"/>
    <w:rsid w:val="54AD6514"/>
    <w:rsid w:val="569FF9B1"/>
    <w:rsid w:val="576F042D"/>
    <w:rsid w:val="5781F2F2"/>
    <w:rsid w:val="58F71B06"/>
    <w:rsid w:val="5A9D0E69"/>
    <w:rsid w:val="5AD10121"/>
    <w:rsid w:val="5AFC7B83"/>
    <w:rsid w:val="5BC5FB4D"/>
    <w:rsid w:val="5E714B07"/>
    <w:rsid w:val="600C755A"/>
    <w:rsid w:val="606C7459"/>
    <w:rsid w:val="6200D917"/>
    <w:rsid w:val="6750B70B"/>
    <w:rsid w:val="6AF2EF74"/>
    <w:rsid w:val="6C82B047"/>
    <w:rsid w:val="6D66DCB7"/>
    <w:rsid w:val="6E0576CF"/>
    <w:rsid w:val="6E68BC06"/>
    <w:rsid w:val="70DF9A5C"/>
    <w:rsid w:val="725417C0"/>
    <w:rsid w:val="733C3DFB"/>
    <w:rsid w:val="74D12E0B"/>
    <w:rsid w:val="74E431EC"/>
    <w:rsid w:val="7642E399"/>
    <w:rsid w:val="772A36AF"/>
    <w:rsid w:val="79DE8FA3"/>
    <w:rsid w:val="7B6F63E8"/>
    <w:rsid w:val="7DAF1FF3"/>
    <w:rsid w:val="7E2B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CED15"/>
  <w15:chartTrackingRefBased/>
  <w15:docId w15:val="{8FBCCE4B-51E3-4896-BEAD-EC07D357D9D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ebb8b80612ff436e" /><Relationship Type="http://schemas.openxmlformats.org/officeDocument/2006/relationships/image" Target="/media/image2.jpg" Id="Rffe5bc49ebaf4f16" /><Relationship Type="http://schemas.openxmlformats.org/officeDocument/2006/relationships/image" Target="/media/image3.jpg" Id="R44adb78feda04742" /><Relationship Type="http://schemas.openxmlformats.org/officeDocument/2006/relationships/image" Target="/media/image4.jpg" Id="R8f98c054ad9240b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A0D72AE4287448C626D86083358D7" ma:contentTypeVersion="19" ma:contentTypeDescription="Create a new document." ma:contentTypeScope="" ma:versionID="c1bf7cb154ebeffaa672d0bf6a3cb466">
  <xsd:schema xmlns:xsd="http://www.w3.org/2001/XMLSchema" xmlns:xs="http://www.w3.org/2001/XMLSchema" xmlns:p="http://schemas.microsoft.com/office/2006/metadata/properties" xmlns:ns2="64ea17a1-dffb-4023-aade-8ddb5d22979b" xmlns:ns3="2ed1e42b-3b16-4c4c-980e-db513e605f0f" targetNamespace="http://schemas.microsoft.com/office/2006/metadata/properties" ma:root="true" ma:fieldsID="80ed0dc93e639b6ea54dc8271c9ed318" ns2:_="" ns3:_="">
    <xsd:import namespace="64ea17a1-dffb-4023-aade-8ddb5d22979b"/>
    <xsd:import namespace="2ed1e42b-3b16-4c4c-980e-db513e605f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Explan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  <xsd:element ref="ns2:FYEE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a17a1-dffb-4023-aade-8ddb5d2297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xplanation" ma:index="12" nillable="true" ma:displayName="Explanation" ma:format="Dropdown" ma:internalName="Explanation">
      <xsd:simpleType>
        <xsd:restriction base="dms:Text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276a186-9e68-4632-aee2-e126ee2ec7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FYEEnd" ma:index="25" nillable="true" ma:displayName="FYE End" ma:format="DateOnly" ma:internalName="FYEEn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1e42b-3b16-4c4c-980e-db513e605f0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db3e3c0-44a2-4d88-b8db-8d0a7e11350e}" ma:internalName="TaxCatchAll" ma:showField="CatchAllData" ma:web="2ed1e42b-3b16-4c4c-980e-db513e605f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planation xmlns="64ea17a1-dffb-4023-aade-8ddb5d22979b" xsi:nil="true"/>
    <TaxCatchAll xmlns="2ed1e42b-3b16-4c4c-980e-db513e605f0f" xsi:nil="true"/>
    <lcf76f155ced4ddcb4097134ff3c332f xmlns="64ea17a1-dffb-4023-aade-8ddb5d22979b">
      <Terms xmlns="http://schemas.microsoft.com/office/infopath/2007/PartnerControls"/>
    </lcf76f155ced4ddcb4097134ff3c332f>
    <FYEEnd xmlns="64ea17a1-dffb-4023-aade-8ddb5d22979b" xsi:nil="true"/>
  </documentManagement>
</p:properties>
</file>

<file path=customXml/itemProps1.xml><?xml version="1.0" encoding="utf-8"?>
<ds:datastoreItem xmlns:ds="http://schemas.openxmlformats.org/officeDocument/2006/customXml" ds:itemID="{9B919B78-5A11-44DE-AC11-2ECD77CAE700}"/>
</file>

<file path=customXml/itemProps2.xml><?xml version="1.0" encoding="utf-8"?>
<ds:datastoreItem xmlns:ds="http://schemas.openxmlformats.org/officeDocument/2006/customXml" ds:itemID="{D8D6732C-D099-42C0-82F2-E558CE98A6A6}"/>
</file>

<file path=customXml/itemProps3.xml><?xml version="1.0" encoding="utf-8"?>
<ds:datastoreItem xmlns:ds="http://schemas.openxmlformats.org/officeDocument/2006/customXml" ds:itemID="{B8A9463D-E0A8-4C02-A9B3-182BB495AC0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LaFleur</dc:creator>
  <cp:keywords/>
  <dc:description/>
  <cp:lastModifiedBy>Michele LaFleur</cp:lastModifiedBy>
  <dcterms:created xsi:type="dcterms:W3CDTF">2025-01-22T16:17:17Z</dcterms:created>
  <dcterms:modified xsi:type="dcterms:W3CDTF">2025-02-18T15:40:13Z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0x010100EC1A0D72AE4287448C626D86083358D7</vt:lpwstr>
  </property>
  <property fmtid="{D5CDD505-2E9C-101B-9397-08002B2CF9AE}" pid="3" name="MediaServiceImageTags">
    <vt:lpwstr/>
  </property>
</Properties>
</file>