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5253" w:rsidR="00830F74" w:rsidP="00830F74" w:rsidRDefault="00830F74" w14:paraId="13E9F7CF" w14:textId="77777777">
      <w:pPr>
        <w:pStyle w:val="paragraph"/>
        <w:spacing w:before="0" w:beforeAutospacing="0" w:after="0" w:afterAutospacing="0"/>
        <w:ind w:left="720" w:right="36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275253">
        <w:rPr>
          <w:rStyle w:val="normaltextrun"/>
          <w:rFonts w:ascii="Calibri" w:hAnsi="Calibri" w:cs="Calibri"/>
          <w:color w:val="000000"/>
          <w:sz w:val="20"/>
          <w:szCs w:val="20"/>
        </w:rPr>
        <w:t>Community Action Pioneer Valley’s Three County CoC </w:t>
      </w:r>
      <w:r w:rsidRPr="00275253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275253" w:rsidR="00830F74" w:rsidP="00830F74" w:rsidRDefault="00830F74" w14:paraId="11D4740E" w14:textId="77777777">
      <w:pPr>
        <w:pStyle w:val="paragraph"/>
        <w:spacing w:before="0" w:beforeAutospacing="0" w:after="0" w:afterAutospacing="0"/>
        <w:ind w:left="720" w:right="36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275253">
        <w:rPr>
          <w:rStyle w:val="normaltextrun"/>
          <w:rFonts w:ascii="Calibri" w:hAnsi="Calibri" w:cs="Calibri"/>
          <w:b/>
          <w:bCs/>
          <w:i/>
          <w:iCs/>
          <w:color w:val="000000"/>
          <w:sz w:val="20"/>
          <w:szCs w:val="20"/>
        </w:rPr>
        <w:t>Ranking and Evaluation Committee Meeting</w:t>
      </w:r>
      <w:r w:rsidRPr="00275253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275253" w:rsidR="00830F74" w:rsidP="00830F74" w:rsidRDefault="00275253" w14:paraId="1E74E4E0" w14:textId="4375C716">
      <w:pPr>
        <w:pStyle w:val="paragraph"/>
        <w:spacing w:before="0" w:beforeAutospacing="0" w:after="0" w:afterAutospacing="0"/>
        <w:ind w:left="720" w:right="36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275253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1-2:30pm</w:t>
      </w:r>
      <w:r w:rsidRPr="00275253" w:rsidR="00830F74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 Friday, </w:t>
      </w:r>
      <w:r w:rsidRPr="00275253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January 28, 2022</w:t>
      </w:r>
      <w:r w:rsidRPr="00275253" w:rsidR="00830F74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.  </w:t>
      </w:r>
      <w:proofErr w:type="gramStart"/>
      <w:r w:rsidRPr="00275253" w:rsidR="00830F74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This</w:t>
      </w:r>
      <w:proofErr w:type="gramEnd"/>
      <w:r w:rsidRPr="00275253" w:rsidR="00830F74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 meeting </w:t>
      </w:r>
      <w:r w:rsidRPr="00275253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will be held on zoom</w:t>
      </w:r>
      <w:r w:rsidRPr="00275253" w:rsidR="00830F74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.</w:t>
      </w:r>
    </w:p>
    <w:p w:rsidRPr="00275253" w:rsidR="00275253" w:rsidRDefault="00275253" w14:paraId="366DA6FB" w14:textId="77777777">
      <w:pPr>
        <w:rPr>
          <w:sz w:val="20"/>
          <w:szCs w:val="20"/>
        </w:rPr>
      </w:pPr>
    </w:p>
    <w:p w:rsidR="00007186" w:rsidRDefault="00007186" w14:paraId="1B8E9CA9" w14:textId="757E4AC3">
      <w:pPr>
        <w:rPr>
          <w:sz w:val="20"/>
          <w:szCs w:val="20"/>
        </w:rPr>
      </w:pPr>
      <w:r>
        <w:rPr>
          <w:sz w:val="20"/>
          <w:szCs w:val="20"/>
        </w:rPr>
        <w:t xml:space="preserve">Present: Keleigh Pereira, CoC; </w:t>
      </w:r>
      <w:r w:rsidR="00EB6CAB">
        <w:rPr>
          <w:sz w:val="20"/>
          <w:szCs w:val="20"/>
        </w:rPr>
        <w:t xml:space="preserve">Dave </w:t>
      </w:r>
      <w:proofErr w:type="spellStart"/>
      <w:r w:rsidR="00EB6CAB">
        <w:rPr>
          <w:sz w:val="20"/>
          <w:szCs w:val="20"/>
        </w:rPr>
        <w:t>Christopolis</w:t>
      </w:r>
      <w:proofErr w:type="spellEnd"/>
      <w:r w:rsidR="00EB6CAB">
        <w:rPr>
          <w:sz w:val="20"/>
          <w:szCs w:val="20"/>
        </w:rPr>
        <w:t xml:space="preserve">, </w:t>
      </w:r>
      <w:proofErr w:type="spellStart"/>
      <w:r w:rsidR="00EB6CAB">
        <w:rPr>
          <w:sz w:val="20"/>
          <w:szCs w:val="20"/>
        </w:rPr>
        <w:t>Hilltown</w:t>
      </w:r>
      <w:proofErr w:type="spellEnd"/>
      <w:r w:rsidR="00EB6CAB">
        <w:rPr>
          <w:sz w:val="20"/>
          <w:szCs w:val="20"/>
        </w:rPr>
        <w:t xml:space="preserve">; Justine </w:t>
      </w:r>
      <w:proofErr w:type="spellStart"/>
      <w:r w:rsidR="00EB6CAB">
        <w:rPr>
          <w:sz w:val="20"/>
          <w:szCs w:val="20"/>
        </w:rPr>
        <w:t>Dodds</w:t>
      </w:r>
      <w:proofErr w:type="spellEnd"/>
      <w:r w:rsidR="00EB6CAB">
        <w:rPr>
          <w:sz w:val="20"/>
          <w:szCs w:val="20"/>
        </w:rPr>
        <w:t xml:space="preserve">, city of Pittsfield; </w:t>
      </w:r>
      <w:proofErr w:type="spellStart"/>
      <w:r w:rsidR="00EB6CAB">
        <w:rPr>
          <w:sz w:val="20"/>
          <w:szCs w:val="20"/>
        </w:rPr>
        <w:t>Calpurynia</w:t>
      </w:r>
      <w:proofErr w:type="spellEnd"/>
      <w:r w:rsidR="00EB6CAB">
        <w:rPr>
          <w:sz w:val="20"/>
          <w:szCs w:val="20"/>
        </w:rPr>
        <w:t xml:space="preserve"> Roberts, MHSA; </w:t>
      </w:r>
      <w:proofErr w:type="spellStart"/>
      <w:r w:rsidR="00EB6CAB">
        <w:rPr>
          <w:sz w:val="20"/>
          <w:szCs w:val="20"/>
        </w:rPr>
        <w:t>Anyd</w:t>
      </w:r>
      <w:proofErr w:type="spellEnd"/>
      <w:r w:rsidR="00EB6CAB">
        <w:rPr>
          <w:sz w:val="20"/>
          <w:szCs w:val="20"/>
        </w:rPr>
        <w:t xml:space="preserve"> </w:t>
      </w:r>
      <w:proofErr w:type="spellStart"/>
      <w:r w:rsidR="00EB6CAB">
        <w:rPr>
          <w:sz w:val="20"/>
          <w:szCs w:val="20"/>
        </w:rPr>
        <w:t>Klatka</w:t>
      </w:r>
      <w:proofErr w:type="spellEnd"/>
      <w:r w:rsidR="00EB6CAB">
        <w:rPr>
          <w:sz w:val="20"/>
          <w:szCs w:val="20"/>
        </w:rPr>
        <w:t>, Teri</w:t>
      </w:r>
    </w:p>
    <w:p w:rsidRPr="00275253" w:rsidR="00830F74" w:rsidRDefault="00275253" w14:paraId="2DC736FF" w14:textId="68E7B16D">
      <w:pPr>
        <w:rPr>
          <w:sz w:val="20"/>
          <w:szCs w:val="20"/>
        </w:rPr>
      </w:pPr>
      <w:r w:rsidRPr="00275253">
        <w:rPr>
          <w:sz w:val="20"/>
          <w:szCs w:val="20"/>
        </w:rPr>
        <w:t>1:00-1:10pm</w:t>
      </w:r>
      <w:r w:rsidRPr="00275253" w:rsidR="00830F74">
        <w:rPr>
          <w:sz w:val="20"/>
          <w:szCs w:val="20"/>
        </w:rPr>
        <w:t xml:space="preserve"> –Introductions/agenda outline</w:t>
      </w:r>
    </w:p>
    <w:p w:rsidR="00830F74" w:rsidRDefault="00275253" w14:paraId="4E958EC8" w14:textId="206E34A1">
      <w:pPr>
        <w:rPr>
          <w:sz w:val="20"/>
          <w:szCs w:val="20"/>
        </w:rPr>
      </w:pPr>
      <w:r w:rsidRPr="00275253">
        <w:rPr>
          <w:sz w:val="20"/>
          <w:szCs w:val="20"/>
        </w:rPr>
        <w:t>1:10-1:30pm – New CoC level –</w:t>
      </w:r>
      <w:proofErr w:type="spellStart"/>
      <w:r w:rsidRPr="00275253">
        <w:rPr>
          <w:sz w:val="20"/>
          <w:szCs w:val="20"/>
        </w:rPr>
        <w:t>Subrecipient</w:t>
      </w:r>
      <w:proofErr w:type="spellEnd"/>
      <w:r w:rsidRPr="00275253">
        <w:rPr>
          <w:sz w:val="20"/>
          <w:szCs w:val="20"/>
        </w:rPr>
        <w:t xml:space="preserve"> Policy review/suggestions for additional policies the CoC should provide to </w:t>
      </w:r>
      <w:proofErr w:type="spellStart"/>
      <w:r w:rsidRPr="00275253">
        <w:rPr>
          <w:sz w:val="20"/>
          <w:szCs w:val="20"/>
        </w:rPr>
        <w:t>subrecipients</w:t>
      </w:r>
      <w:proofErr w:type="spellEnd"/>
      <w:r w:rsidRPr="00275253">
        <w:rPr>
          <w:sz w:val="20"/>
          <w:szCs w:val="20"/>
        </w:rPr>
        <w:t xml:space="preserve"> – </w:t>
      </w:r>
      <w:r w:rsidRPr="00275253">
        <w:rPr>
          <w:b/>
          <w:i/>
          <w:sz w:val="20"/>
          <w:szCs w:val="20"/>
        </w:rPr>
        <w:t>see current policy expectations/outline and draft policies.</w:t>
      </w:r>
      <w:r w:rsidRPr="00275253">
        <w:rPr>
          <w:sz w:val="20"/>
          <w:szCs w:val="20"/>
        </w:rPr>
        <w:t xml:space="preserve"> </w:t>
      </w:r>
    </w:p>
    <w:p w:rsidR="007C37BE" w:rsidP="007C37BE" w:rsidRDefault="007C37BE" w14:paraId="3EE5C933" w14:textId="6EFEE49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Anti-discrimination policies.  </w:t>
      </w:r>
    </w:p>
    <w:p w:rsidR="007C37BE" w:rsidP="007C37BE" w:rsidRDefault="007C37BE" w14:paraId="4393BEE8" w14:textId="5C84402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Comments: do most agencies have this? – </w:t>
      </w:r>
      <w:proofErr w:type="gramStart"/>
      <w:r>
        <w:rPr>
          <w:sz w:val="20"/>
          <w:szCs w:val="20"/>
        </w:rPr>
        <w:t>most</w:t>
      </w:r>
      <w:proofErr w:type="gramEnd"/>
      <w:r>
        <w:rPr>
          <w:sz w:val="20"/>
          <w:szCs w:val="20"/>
        </w:rPr>
        <w:t xml:space="preserve"> have not demonstrated that.</w:t>
      </w:r>
    </w:p>
    <w:p w:rsidR="007C37BE" w:rsidP="007C37BE" w:rsidRDefault="007C37BE" w14:paraId="589D21EE" w14:textId="77989B8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Good complied document, makes sense. </w:t>
      </w:r>
    </w:p>
    <w:p w:rsidR="007C37BE" w:rsidP="007C37BE" w:rsidRDefault="007C37BE" w14:paraId="4D800593" w14:textId="3849326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Three county CoC will do: add in inclusion of people with lived experience</w:t>
      </w:r>
    </w:p>
    <w:p w:rsidR="007C37BE" w:rsidP="007C37BE" w:rsidRDefault="007C37BE" w14:paraId="6B208651" w14:textId="3493F59E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Also add in Recognize implicit bias as well as the explicit discrimination.</w:t>
      </w:r>
    </w:p>
    <w:p w:rsidR="007C37BE" w:rsidP="007C37BE" w:rsidRDefault="007C37BE" w14:paraId="2B428B3C" w14:textId="03860E5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Move-On Policy.</w:t>
      </w:r>
    </w:p>
    <w:p w:rsidR="007C37BE" w:rsidP="007C37BE" w:rsidRDefault="007C37BE" w14:paraId="48E069F5" w14:textId="49FFBE68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Is there a sample policy for </w:t>
      </w:r>
      <w:proofErr w:type="spellStart"/>
      <w:r>
        <w:rPr>
          <w:sz w:val="20"/>
          <w:szCs w:val="20"/>
        </w:rPr>
        <w:t>subrecipients</w:t>
      </w:r>
      <w:proofErr w:type="spellEnd"/>
    </w:p>
    <w:p w:rsidR="009B22DA" w:rsidP="007C37BE" w:rsidRDefault="009B22DA" w14:paraId="73388427" w14:textId="5579BC5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Policies have a legal implication, what is being asked of an organization. </w:t>
      </w:r>
    </w:p>
    <w:p w:rsidR="009B22DA" w:rsidP="009B22DA" w:rsidRDefault="009B22DA" w14:paraId="3A3C7D2D" w14:textId="2616EE22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Add in information about procedural documents/program specific.</w:t>
      </w:r>
    </w:p>
    <w:p w:rsidR="009B22DA" w:rsidP="009B22DA" w:rsidRDefault="009B22DA" w14:paraId="58BA481F" w14:textId="15D7A038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Eliot services sees </w:t>
      </w:r>
      <w:r w:rsidR="009C4EDD">
        <w:rPr>
          <w:sz w:val="20"/>
          <w:szCs w:val="20"/>
        </w:rPr>
        <w:t xml:space="preserve">after transition that we see things start to fall apart – services need to be present throughout the program.  </w:t>
      </w:r>
      <w:proofErr w:type="spellStart"/>
      <w:proofErr w:type="gramStart"/>
      <w:r w:rsidR="009C4EDD">
        <w:rPr>
          <w:sz w:val="20"/>
          <w:szCs w:val="20"/>
        </w:rPr>
        <w:t>Its</w:t>
      </w:r>
      <w:proofErr w:type="spellEnd"/>
      <w:proofErr w:type="gramEnd"/>
      <w:r w:rsidR="009C4EDD">
        <w:rPr>
          <w:sz w:val="20"/>
          <w:szCs w:val="20"/>
        </w:rPr>
        <w:t xml:space="preserve"> an easy place for agencies to say “we tried, but they do want to do it”.  The effort needs to continue to be there. </w:t>
      </w:r>
    </w:p>
    <w:p w:rsidR="009C4EDD" w:rsidP="009B22DA" w:rsidRDefault="009C4EDD" w14:paraId="0C2A2F48" w14:textId="2C8214F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Can the consequences in response be informed in this </w:t>
      </w:r>
      <w:proofErr w:type="gramStart"/>
      <w:r>
        <w:rPr>
          <w:sz w:val="20"/>
          <w:szCs w:val="20"/>
        </w:rPr>
        <w:t>document.</w:t>
      </w:r>
      <w:proofErr w:type="gramEnd"/>
      <w:r>
        <w:rPr>
          <w:sz w:val="20"/>
          <w:szCs w:val="20"/>
        </w:rPr>
        <w:t xml:space="preserve"> </w:t>
      </w:r>
    </w:p>
    <w:p w:rsidR="009C4EDD" w:rsidP="009B22DA" w:rsidRDefault="009C4EDD" w14:paraId="1569F7BC" w14:textId="2FDDD04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HUD is also now requiring “moving on assistance provided” data element – added in October 2021. The CoC is working to prepare </w:t>
      </w:r>
      <w:proofErr w:type="spellStart"/>
      <w:r>
        <w:rPr>
          <w:sz w:val="20"/>
          <w:szCs w:val="20"/>
        </w:rPr>
        <w:t>subrecipients</w:t>
      </w:r>
      <w:proofErr w:type="spellEnd"/>
      <w:r>
        <w:rPr>
          <w:sz w:val="20"/>
          <w:szCs w:val="20"/>
        </w:rPr>
        <w:t xml:space="preserve"> for this.  This may need to be included on the policy.</w:t>
      </w:r>
    </w:p>
    <w:p w:rsidRPr="007C37BE" w:rsidR="00EA5907" w:rsidP="009C4EDD" w:rsidRDefault="00EA5907" w14:paraId="498012EB" w14:textId="62E666A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B8D12FA" w:rsidR="00EA5907">
        <w:rPr>
          <w:sz w:val="20"/>
          <w:szCs w:val="20"/>
        </w:rPr>
        <w:t xml:space="preserve">Goal is to share with </w:t>
      </w:r>
      <w:r w:rsidRPr="4B8D12FA" w:rsidR="00EA5907">
        <w:rPr>
          <w:sz w:val="20"/>
          <w:szCs w:val="20"/>
        </w:rPr>
        <w:t>subrecipients</w:t>
      </w:r>
      <w:r w:rsidRPr="4B8D12FA" w:rsidR="00EA5907">
        <w:rPr>
          <w:sz w:val="20"/>
          <w:szCs w:val="20"/>
        </w:rPr>
        <w:t xml:space="preserve"> before site monitoring. </w:t>
      </w:r>
    </w:p>
    <w:p w:rsidR="00275253" w:rsidP="00275253" w:rsidRDefault="00275253" w14:paraId="58C963AA" w14:textId="5162AB2B">
      <w:pPr>
        <w:rPr>
          <w:sz w:val="20"/>
          <w:szCs w:val="20"/>
        </w:rPr>
      </w:pPr>
      <w:proofErr w:type="gramStart"/>
      <w:r w:rsidRPr="00275253">
        <w:rPr>
          <w:sz w:val="20"/>
          <w:szCs w:val="20"/>
        </w:rPr>
        <w:t>review</w:t>
      </w:r>
      <w:proofErr w:type="gramEnd"/>
      <w:r w:rsidRPr="00275253">
        <w:rPr>
          <w:sz w:val="20"/>
          <w:szCs w:val="20"/>
        </w:rPr>
        <w:t xml:space="preserve"> of monitoring plan/suggestions for areas of concentration</w:t>
      </w:r>
      <w:r w:rsidR="009C4EDD">
        <w:rPr>
          <w:sz w:val="20"/>
          <w:szCs w:val="20"/>
        </w:rPr>
        <w:t>.</w:t>
      </w:r>
    </w:p>
    <w:p w:rsidR="00B64C46" w:rsidP="00275253" w:rsidRDefault="00B64C46" w14:paraId="2B340F7D" w14:textId="77777777">
      <w:pPr>
        <w:rPr>
          <w:i/>
          <w:iCs/>
        </w:rPr>
      </w:pPr>
      <w:r>
        <w:rPr>
          <w:i/>
          <w:iCs/>
        </w:rPr>
        <w:t>Areas of concentration the COC staff can see for this year:</w:t>
      </w:r>
    </w:p>
    <w:p w:rsidR="00B64C46" w:rsidP="00B64C46" w:rsidRDefault="00B64C46" w14:paraId="47361B1A" w14:textId="6D9810B0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Policies</w:t>
      </w:r>
    </w:p>
    <w:p w:rsidR="00B64C46" w:rsidP="00B64C46" w:rsidRDefault="00B64C46" w14:paraId="4112726C" w14:textId="60569826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equity measures</w:t>
      </w:r>
    </w:p>
    <w:p w:rsidR="00B64C46" w:rsidP="00B64C46" w:rsidRDefault="00B64C46" w14:paraId="7517D6E6" w14:textId="116AF912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Racial Equity partners to do two trainings (policies and data)</w:t>
      </w:r>
    </w:p>
    <w:p w:rsidR="005C53DA" w:rsidP="00B64C46" w:rsidRDefault="005C53DA" w14:paraId="4FE1F16B" w14:textId="435404C7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 xml:space="preserve">Used supplemental questionnaire during NOFO response – may need to incorporate in monitoring this time.  </w:t>
      </w:r>
    </w:p>
    <w:p w:rsidR="00B64C46" w:rsidP="00B64C46" w:rsidRDefault="001F444E" w14:paraId="1F42CA46" w14:textId="77777777">
      <w:pPr>
        <w:pStyle w:val="ListParagraph"/>
        <w:numPr>
          <w:ilvl w:val="0"/>
          <w:numId w:val="2"/>
        </w:numPr>
        <w:rPr>
          <w:i/>
          <w:iCs/>
        </w:rPr>
      </w:pPr>
      <w:r w:rsidRPr="00B64C46">
        <w:rPr>
          <w:i/>
          <w:iCs/>
        </w:rPr>
        <w:t xml:space="preserve"> supporti</w:t>
      </w:r>
      <w:r w:rsidR="00B64C46">
        <w:rPr>
          <w:i/>
          <w:iCs/>
        </w:rPr>
        <w:t>ve services provided</w:t>
      </w:r>
    </w:p>
    <w:p w:rsidR="001F444E" w:rsidP="00B64C46" w:rsidRDefault="001F444E" w14:paraId="4AE939FB" w14:textId="0FE50C40">
      <w:pPr>
        <w:pStyle w:val="ListParagraph"/>
        <w:numPr>
          <w:ilvl w:val="0"/>
          <w:numId w:val="2"/>
        </w:numPr>
        <w:rPr>
          <w:i/>
          <w:iCs/>
        </w:rPr>
      </w:pPr>
      <w:r w:rsidRPr="00B64C46">
        <w:rPr>
          <w:i/>
          <w:iCs/>
        </w:rPr>
        <w:t xml:space="preserve"> and match</w:t>
      </w:r>
    </w:p>
    <w:p w:rsidR="005C53DA" w:rsidP="00B64C46" w:rsidRDefault="005C53DA" w14:paraId="6113B795" w14:textId="7281D0BA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Client file detail – scoring needs updating</w:t>
      </w:r>
    </w:p>
    <w:p w:rsidRPr="00B64C46" w:rsidR="005C53DA" w:rsidP="00B64C46" w:rsidRDefault="005C53DA" w14:paraId="2F3667D4" w14:textId="325C8343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Suggested using reports more to inform the monitoring expectations.</w:t>
      </w:r>
    </w:p>
    <w:p w:rsidRPr="005C53DA" w:rsidR="00B64C46" w:rsidP="005C53DA" w:rsidRDefault="00B64C46" w14:paraId="4CF99ABE" w14:textId="593A92A1">
      <w:pPr>
        <w:rPr>
          <w:sz w:val="20"/>
          <w:szCs w:val="20"/>
        </w:rPr>
      </w:pPr>
      <w:r w:rsidRPr="005C53DA">
        <w:rPr>
          <w:sz w:val="20"/>
          <w:szCs w:val="20"/>
        </w:rPr>
        <w:t>Site Monitoring of all Projects is usually held during April and May – to adjust to CoC competition timeline</w:t>
      </w:r>
    </w:p>
    <w:p w:rsidR="00B64C46" w:rsidP="00B64C46" w:rsidRDefault="00B64C46" w14:paraId="37180DEB" w14:textId="7509426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Last two years have been offsite/documents sent over secure link/CoC staff evaluation/complete monitoring forms/ schedule meeting to </w:t>
      </w:r>
      <w:proofErr w:type="spellStart"/>
      <w:r>
        <w:rPr>
          <w:sz w:val="20"/>
          <w:szCs w:val="20"/>
        </w:rPr>
        <w:t>review</w:t>
      </w:r>
      <w:proofErr w:type="gramStart"/>
      <w:r>
        <w:rPr>
          <w:sz w:val="20"/>
          <w:szCs w:val="20"/>
        </w:rPr>
        <w:t>..request</w:t>
      </w:r>
      <w:proofErr w:type="spellEnd"/>
      <w:proofErr w:type="gramEnd"/>
      <w:r>
        <w:rPr>
          <w:sz w:val="20"/>
          <w:szCs w:val="20"/>
        </w:rPr>
        <w:t xml:space="preserve"> needed docs, and then provide </w:t>
      </w:r>
      <w:r>
        <w:rPr>
          <w:sz w:val="20"/>
          <w:szCs w:val="20"/>
        </w:rPr>
        <w:lastRenderedPageBreak/>
        <w:t>expectations and timelines to meet them.  Major findings are identified if there are any, but also recommendations/requests for changes.</w:t>
      </w:r>
    </w:p>
    <w:p w:rsidRPr="00531269" w:rsidR="00531269" w:rsidP="00B64C46" w:rsidRDefault="00531269" w14:paraId="086DF041" w14:textId="7529504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Fiscal department may do their own monitoring and may not follow the </w:t>
      </w:r>
      <w:proofErr w:type="spellStart"/>
      <w:r>
        <w:rPr>
          <w:sz w:val="20"/>
          <w:szCs w:val="20"/>
        </w:rPr>
        <w:t>CoC’s</w:t>
      </w:r>
      <w:proofErr w:type="spellEnd"/>
      <w:r>
        <w:rPr>
          <w:sz w:val="20"/>
          <w:szCs w:val="20"/>
        </w:rPr>
        <w:t xml:space="preserve"> timeframe.</w:t>
      </w:r>
    </w:p>
    <w:p w:rsidRPr="00275253" w:rsidR="00275253" w:rsidP="00275253" w:rsidRDefault="00275253" w14:paraId="08AFD11A" w14:textId="777777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275253">
        <w:rPr>
          <w:rFonts w:ascii="Calibri" w:hAnsi="Calibri" w:cs="Calibri"/>
          <w:sz w:val="20"/>
          <w:szCs w:val="20"/>
        </w:rPr>
        <w:t>These are the two relevant questions in the handbook:</w:t>
      </w:r>
    </w:p>
    <w:p w:rsidRPr="00275253" w:rsidR="00275253" w:rsidP="00275253" w:rsidRDefault="00275253" w14:paraId="5BF57F8D" w14:textId="77777777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0"/>
          <w:szCs w:val="20"/>
        </w:rPr>
      </w:pPr>
      <w:r w:rsidRPr="00275253">
        <w:rPr>
          <w:rFonts w:ascii="Calibri" w:hAnsi="Calibri" w:cs="Calibri"/>
          <w:i/>
          <w:iCs/>
          <w:sz w:val="20"/>
          <w:szCs w:val="20"/>
        </w:rPr>
        <w:t>45.</w:t>
      </w:r>
    </w:p>
    <w:p w:rsidRPr="00275253" w:rsidR="00275253" w:rsidP="00275253" w:rsidRDefault="00275253" w14:paraId="36760971" w14:textId="10088E8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275253">
        <w:rPr>
          <w:rFonts w:ascii="Calibri" w:hAnsi="Calibri" w:cs="Calibri"/>
          <w:i/>
          <w:iCs/>
          <w:sz w:val="20"/>
          <w:szCs w:val="20"/>
        </w:rPr>
        <w:t xml:space="preserve">In making an award to a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subrecipient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, has the non-Federal entity evaluated each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subrecipient’s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 risk of noncompliance with the Federal statutes, regulations, and terms and conditions of the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subaward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 for purposes of determining the appropriate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subrecipient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 monitoring? NOTE: This evaluation may include consideration of factors such as:  the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subrecipient’s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 prior experience with the same or similar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subawards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;  the results of previous audits, including whether or not the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subrecipient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 receives a Single Audit in accordance with Subpart F of 2 CFR part 200, and the extent to which the same or similar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subaward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 has been audited as a major program; whether the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subrecipient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 has new personnel or new or substantially changed systems; and the extent and results of previous HUD monitoring, if the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subrecipient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 also receives funds directly from HUD. [24 CFR 578.99(e); 2 CFR 200.331(b)]</w:t>
      </w:r>
    </w:p>
    <w:p w:rsidRPr="00275253" w:rsidR="00275253" w:rsidP="00275253" w:rsidRDefault="00275253" w14:paraId="69550F29" w14:textId="48933B2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0"/>
          <w:szCs w:val="20"/>
        </w:rPr>
      </w:pPr>
    </w:p>
    <w:p w:rsidRPr="00275253" w:rsidR="00275253" w:rsidP="00275253" w:rsidRDefault="00275253" w14:paraId="7F33934C" w14:textId="77777777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0"/>
          <w:szCs w:val="20"/>
        </w:rPr>
      </w:pPr>
      <w:r w:rsidRPr="00275253">
        <w:rPr>
          <w:rFonts w:ascii="Calibri" w:hAnsi="Calibri" w:cs="Calibri"/>
          <w:i/>
          <w:iCs/>
          <w:sz w:val="20"/>
          <w:szCs w:val="20"/>
        </w:rPr>
        <w:t> 47.</w:t>
      </w:r>
    </w:p>
    <w:p w:rsidRPr="00275253" w:rsidR="00275253" w:rsidP="00275253" w:rsidRDefault="00275253" w14:paraId="32ADF4A7" w14:textId="6E3C771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275253">
        <w:rPr>
          <w:rFonts w:ascii="Calibri" w:hAnsi="Calibri" w:cs="Calibri"/>
          <w:i/>
          <w:iCs/>
          <w:sz w:val="20"/>
          <w:szCs w:val="20"/>
        </w:rPr>
        <w:t xml:space="preserve">a. For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subawards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 provided to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subrecipients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, has the non-Federal entity monitored the activities of the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subrecipient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 as necessary to ensure that the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subaward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 was used for authorized purposes, in compliance with Federal statutes, regulations, and the terms and conditions of the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subaward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; and that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subaward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 performance goals are being, or have been, achieved? [24 CFR 578.99(e); 2 CFR 200.331(d)]Yes No N/A</w:t>
      </w:r>
    </w:p>
    <w:p w:rsidRPr="00275253" w:rsidR="00275253" w:rsidP="00275253" w:rsidRDefault="00275253" w14:paraId="1A277C75" w14:textId="06C38758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i/>
          <w:iCs/>
          <w:sz w:val="20"/>
          <w:szCs w:val="20"/>
        </w:rPr>
      </w:pPr>
      <w:r w:rsidRPr="00275253">
        <w:rPr>
          <w:rFonts w:ascii="Calibri" w:hAnsi="Calibri" w:cs="Calibri"/>
          <w:i/>
          <w:iCs/>
          <w:sz w:val="20"/>
          <w:szCs w:val="20"/>
        </w:rPr>
        <w:t xml:space="preserve">b. Did the non-Federal entity’s monitoring of the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subrecipient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 include:</w:t>
      </w:r>
      <w:r w:rsidRPr="00275253">
        <w:rPr>
          <w:rFonts w:ascii="Calibri" w:hAnsi="Calibri" w:cs="Calibri"/>
          <w:sz w:val="20"/>
          <w:szCs w:val="20"/>
        </w:rPr>
        <w:t xml:space="preserve"> </w:t>
      </w:r>
      <w:r w:rsidRPr="00275253">
        <w:rPr>
          <w:rFonts w:ascii="Calibri" w:hAnsi="Calibri" w:cs="Calibri"/>
          <w:i/>
          <w:iCs/>
          <w:sz w:val="20"/>
          <w:szCs w:val="20"/>
        </w:rPr>
        <w:t>Reviewing financial and performance reports required by the non-Federal entity?</w:t>
      </w:r>
      <w:r w:rsidRPr="00275253">
        <w:rPr>
          <w:rFonts w:ascii="Calibri" w:hAnsi="Calibri" w:cs="Calibri"/>
          <w:sz w:val="20"/>
          <w:szCs w:val="20"/>
        </w:rPr>
        <w:t xml:space="preserve"> </w:t>
      </w:r>
      <w:r w:rsidRPr="00275253">
        <w:rPr>
          <w:rFonts w:ascii="Calibri" w:hAnsi="Calibri" w:cs="Calibri"/>
          <w:i/>
          <w:iCs/>
          <w:sz w:val="20"/>
          <w:szCs w:val="20"/>
        </w:rPr>
        <w:t xml:space="preserve">Following-up and ensuring that the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subrecipient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 takes timely and</w:t>
      </w:r>
      <w:r w:rsidRPr="00275253">
        <w:rPr>
          <w:rFonts w:ascii="Calibri" w:hAnsi="Calibri" w:cs="Calibri"/>
          <w:sz w:val="20"/>
          <w:szCs w:val="20"/>
        </w:rPr>
        <w:t xml:space="preserve"> </w:t>
      </w:r>
      <w:r w:rsidRPr="00275253">
        <w:rPr>
          <w:rFonts w:ascii="Calibri" w:hAnsi="Calibri" w:cs="Calibri"/>
          <w:i/>
          <w:iCs/>
          <w:sz w:val="20"/>
          <w:szCs w:val="20"/>
        </w:rPr>
        <w:t xml:space="preserve">appropriate action on all deficiencies pertaining to the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subaward</w:t>
      </w:r>
      <w:proofErr w:type="spellEnd"/>
      <w:r w:rsidRPr="0027525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275253">
        <w:rPr>
          <w:rFonts w:ascii="Calibri" w:hAnsi="Calibri" w:cs="Calibri"/>
          <w:i/>
          <w:iCs/>
          <w:sz w:val="20"/>
          <w:szCs w:val="20"/>
        </w:rPr>
        <w:t>detected</w:t>
      </w:r>
      <w:proofErr w:type="gramEnd"/>
      <w:r w:rsidRPr="00275253">
        <w:rPr>
          <w:rFonts w:ascii="Calibri" w:hAnsi="Calibri" w:cs="Calibri"/>
          <w:i/>
          <w:iCs/>
          <w:sz w:val="20"/>
          <w:szCs w:val="20"/>
        </w:rPr>
        <w:t xml:space="preserve"> through audits, on-site reviews, or other means?</w:t>
      </w:r>
      <w:r w:rsidRPr="00275253">
        <w:rPr>
          <w:rFonts w:ascii="Calibri" w:hAnsi="Calibri" w:cs="Calibri"/>
          <w:sz w:val="20"/>
          <w:szCs w:val="20"/>
        </w:rPr>
        <w:t xml:space="preserve"> </w:t>
      </w:r>
      <w:r w:rsidRPr="00275253">
        <w:rPr>
          <w:rFonts w:ascii="Calibri" w:hAnsi="Calibri" w:cs="Calibri"/>
          <w:i/>
          <w:iCs/>
          <w:sz w:val="20"/>
          <w:szCs w:val="20"/>
        </w:rPr>
        <w:t>Issuing a management decision for audit findings pertaining to the</w:t>
      </w:r>
      <w:r w:rsidRPr="0027525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75253">
        <w:rPr>
          <w:rFonts w:ascii="Calibri" w:hAnsi="Calibri" w:cs="Calibri"/>
          <w:i/>
          <w:iCs/>
          <w:sz w:val="20"/>
          <w:szCs w:val="20"/>
        </w:rPr>
        <w:t>subaward</w:t>
      </w:r>
      <w:proofErr w:type="spellEnd"/>
      <w:r w:rsidRPr="00275253">
        <w:rPr>
          <w:rFonts w:ascii="Calibri" w:hAnsi="Calibri" w:cs="Calibri"/>
          <w:i/>
          <w:iCs/>
          <w:sz w:val="20"/>
          <w:szCs w:val="20"/>
        </w:rPr>
        <w:t xml:space="preserve"> a required by 2 CFR 200.521?</w:t>
      </w:r>
      <w:r w:rsidRPr="00275253">
        <w:rPr>
          <w:rFonts w:ascii="Calibri" w:hAnsi="Calibri" w:cs="Calibri"/>
          <w:sz w:val="20"/>
          <w:szCs w:val="20"/>
        </w:rPr>
        <w:t xml:space="preserve"> </w:t>
      </w:r>
      <w:r w:rsidRPr="00275253">
        <w:rPr>
          <w:rFonts w:ascii="Calibri" w:hAnsi="Calibri" w:cs="Calibri"/>
          <w:i/>
          <w:iCs/>
          <w:sz w:val="20"/>
          <w:szCs w:val="20"/>
        </w:rPr>
        <w:t>[24 CFR 578.99(e); 2 CFR 200.331(d</w:t>
      </w:r>
      <w:proofErr w:type="gramStart"/>
      <w:r w:rsidRPr="00275253">
        <w:rPr>
          <w:rFonts w:ascii="Calibri" w:hAnsi="Calibri" w:cs="Calibri"/>
          <w:i/>
          <w:iCs/>
          <w:sz w:val="20"/>
          <w:szCs w:val="20"/>
        </w:rPr>
        <w:t>)(</w:t>
      </w:r>
      <w:proofErr w:type="gramEnd"/>
      <w:r w:rsidRPr="00275253">
        <w:rPr>
          <w:rFonts w:ascii="Calibri" w:hAnsi="Calibri" w:cs="Calibri"/>
          <w:i/>
          <w:iCs/>
          <w:sz w:val="20"/>
          <w:szCs w:val="20"/>
        </w:rPr>
        <w:t>1) – (3)]</w:t>
      </w:r>
    </w:p>
    <w:p w:rsidRPr="00275253" w:rsidR="00275253" w:rsidP="00275253" w:rsidRDefault="00275253" w14:paraId="162BE3BC" w14:textId="77777777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sz w:val="20"/>
          <w:szCs w:val="20"/>
        </w:rPr>
      </w:pPr>
    </w:p>
    <w:p w:rsidR="00275253" w:rsidP="00275253" w:rsidRDefault="00275253" w14:paraId="41015C6E" w14:textId="793158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5253">
        <w:rPr>
          <w:sz w:val="20"/>
          <w:szCs w:val="20"/>
        </w:rPr>
        <w:t xml:space="preserve">YHDP Projects will participate for the first time this spring. </w:t>
      </w:r>
    </w:p>
    <w:p w:rsidR="00B1694D" w:rsidP="00275253" w:rsidRDefault="005C53DA" w14:paraId="3E59CFE9" w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Can some programs that are doing well </w:t>
      </w:r>
      <w:r w:rsidR="00B1694D">
        <w:rPr>
          <w:sz w:val="20"/>
          <w:szCs w:val="20"/>
        </w:rPr>
        <w:t>in areas, skip certain aspects of monitoring</w:t>
      </w:r>
    </w:p>
    <w:p w:rsidR="005C53DA" w:rsidP="00B1694D" w:rsidRDefault="00B1694D" w14:paraId="75247882" w14:textId="1689E60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Keleigh is working on gathering this once we get more info from TA providers.</w:t>
      </w:r>
    </w:p>
    <w:p w:rsidR="00B1694D" w:rsidP="00B1694D" w:rsidRDefault="00B1694D" w14:paraId="434A5FDA" w14:textId="13E6319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Feels duplicative sometimes/</w:t>
      </w:r>
      <w:proofErr w:type="spellStart"/>
      <w:r>
        <w:rPr>
          <w:sz w:val="20"/>
          <w:szCs w:val="20"/>
        </w:rPr>
        <w:t>subrecipients</w:t>
      </w:r>
      <w:proofErr w:type="spellEnd"/>
      <w:r>
        <w:rPr>
          <w:sz w:val="20"/>
          <w:szCs w:val="20"/>
        </w:rPr>
        <w:t xml:space="preserve"> have to go through the same things.</w:t>
      </w:r>
    </w:p>
    <w:p w:rsidRPr="00275253" w:rsidR="00B1694D" w:rsidP="00B1694D" w:rsidRDefault="00B1694D" w14:paraId="178D1CCF" w14:textId="77777777">
      <w:pPr>
        <w:pStyle w:val="ListParagraph"/>
        <w:rPr>
          <w:sz w:val="20"/>
          <w:szCs w:val="20"/>
        </w:rPr>
      </w:pPr>
    </w:p>
    <w:p w:rsidR="00275253" w:rsidP="00275253" w:rsidRDefault="00275253" w14:paraId="6FD98886" w14:textId="1B96E24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5253">
        <w:rPr>
          <w:sz w:val="20"/>
          <w:szCs w:val="20"/>
        </w:rPr>
        <w:t>Onsite/offsite considerations</w:t>
      </w:r>
    </w:p>
    <w:p w:rsidRPr="00B1694D" w:rsidR="00B1694D" w:rsidP="00B1694D" w:rsidRDefault="00B1694D" w14:paraId="1B679535" w14:textId="77777777">
      <w:pPr>
        <w:pStyle w:val="ListParagraph"/>
        <w:rPr>
          <w:sz w:val="20"/>
          <w:szCs w:val="20"/>
        </w:rPr>
      </w:pPr>
    </w:p>
    <w:p w:rsidR="00B1694D" w:rsidP="00B1694D" w:rsidRDefault="00B1694D" w14:paraId="067396A9" w14:textId="18AA0E5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This would be the third year of offsite, might need to follow whatever rules for agencies.</w:t>
      </w:r>
    </w:p>
    <w:p w:rsidR="00B1694D" w:rsidP="00B1694D" w:rsidRDefault="00B1694D" w14:paraId="4EF5F760" w14:textId="259A6FA6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proofErr w:type="gramStart"/>
      <w:r>
        <w:rPr>
          <w:sz w:val="20"/>
          <w:szCs w:val="20"/>
        </w:rPr>
        <w:t xml:space="preserve">are other </w:t>
      </w:r>
      <w:proofErr w:type="spellStart"/>
      <w:r>
        <w:rPr>
          <w:sz w:val="20"/>
          <w:szCs w:val="20"/>
        </w:rPr>
        <w:t>CoC’s</w:t>
      </w:r>
      <w:proofErr w:type="spellEnd"/>
      <w:proofErr w:type="gramEnd"/>
      <w:r>
        <w:rPr>
          <w:sz w:val="20"/>
          <w:szCs w:val="20"/>
        </w:rPr>
        <w:t xml:space="preserve"> addressing the remote?  How are the </w:t>
      </w:r>
      <w:proofErr w:type="spellStart"/>
      <w:r>
        <w:rPr>
          <w:sz w:val="20"/>
          <w:szCs w:val="20"/>
        </w:rPr>
        <w:t>subrecipients</w:t>
      </w:r>
      <w:proofErr w:type="spellEnd"/>
      <w:r>
        <w:rPr>
          <w:sz w:val="20"/>
          <w:szCs w:val="20"/>
        </w:rPr>
        <w:t xml:space="preserve"> handling this?</w:t>
      </w:r>
    </w:p>
    <w:p w:rsidR="00B1694D" w:rsidP="00B1694D" w:rsidRDefault="00B1694D" w14:paraId="30B9F851" w14:textId="13FE3D2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much leniency can there be?</w:t>
      </w:r>
    </w:p>
    <w:p w:rsidR="00B1694D" w:rsidP="00B1694D" w:rsidRDefault="00B1694D" w14:paraId="1E8D53DA" w14:textId="6C5D3C2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Can we go onsite for visit and not monitoring?</w:t>
      </w:r>
    </w:p>
    <w:p w:rsidRPr="00275253" w:rsidR="00806726" w:rsidP="00B1694D" w:rsidRDefault="00806726" w14:paraId="4FD9A0D9" w14:textId="4F5CCF7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Can you create a volunteer team for the monitoring? (</w:t>
      </w:r>
      <w:proofErr w:type="gramStart"/>
      <w:r>
        <w:rPr>
          <w:sz w:val="20"/>
          <w:szCs w:val="20"/>
        </w:rPr>
        <w:t>using</w:t>
      </w:r>
      <w:proofErr w:type="gramEnd"/>
      <w:r>
        <w:rPr>
          <w:sz w:val="20"/>
          <w:szCs w:val="20"/>
        </w:rPr>
        <w:t xml:space="preserve"> the board and the ranking committee – like the united way does – use folks.  </w:t>
      </w:r>
      <w:bookmarkStart w:name="_GoBack" w:id="0"/>
      <w:bookmarkEnd w:id="0"/>
    </w:p>
    <w:p w:rsidRPr="00275253" w:rsidR="00275253" w:rsidRDefault="00275253" w14:paraId="5C4E584B" w14:textId="6B44C34D">
      <w:pPr>
        <w:rPr>
          <w:sz w:val="20"/>
          <w:szCs w:val="20"/>
        </w:rPr>
      </w:pPr>
      <w:r w:rsidRPr="00275253">
        <w:rPr>
          <w:sz w:val="20"/>
          <w:szCs w:val="20"/>
        </w:rPr>
        <w:t xml:space="preserve">2-2:20pm – review of process for renewal applications/scoring tool as updated since the NOFO release for FY21 – any suggested changes/updates based on monitoring expectations or </w:t>
      </w:r>
      <w:proofErr w:type="spellStart"/>
      <w:r w:rsidRPr="00275253">
        <w:rPr>
          <w:sz w:val="20"/>
          <w:szCs w:val="20"/>
        </w:rPr>
        <w:t>subrecipient</w:t>
      </w:r>
      <w:proofErr w:type="spellEnd"/>
      <w:r w:rsidRPr="00275253">
        <w:rPr>
          <w:sz w:val="20"/>
          <w:szCs w:val="20"/>
        </w:rPr>
        <w:t xml:space="preserve"> ease– </w:t>
      </w:r>
      <w:r w:rsidRPr="00275253">
        <w:rPr>
          <w:b/>
          <w:i/>
          <w:sz w:val="20"/>
          <w:szCs w:val="20"/>
        </w:rPr>
        <w:t>see current tool.</w:t>
      </w:r>
    </w:p>
    <w:p w:rsidRPr="00275253" w:rsidR="00275253" w:rsidRDefault="00275253" w14:paraId="5836F8CA" w14:textId="143EBCDC">
      <w:pPr>
        <w:rPr>
          <w:sz w:val="20"/>
          <w:szCs w:val="20"/>
        </w:rPr>
      </w:pPr>
      <w:r w:rsidRPr="00275253">
        <w:rPr>
          <w:sz w:val="20"/>
          <w:szCs w:val="20"/>
        </w:rPr>
        <w:t>2:20-2:30pm – next meeting/plan for the year</w:t>
      </w:r>
    </w:p>
    <w:p w:rsidRPr="00275253" w:rsidR="00275253" w:rsidP="00275253" w:rsidRDefault="00275253" w14:paraId="7777579F" w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5253">
        <w:rPr>
          <w:sz w:val="20"/>
          <w:szCs w:val="20"/>
        </w:rPr>
        <w:t xml:space="preserve">February date </w:t>
      </w:r>
    </w:p>
    <w:p w:rsidRPr="00275253" w:rsidR="00830F74" w:rsidP="00275253" w:rsidRDefault="00275253" w14:paraId="7A038686" w14:textId="696F8C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5253">
        <w:rPr>
          <w:sz w:val="20"/>
          <w:szCs w:val="20"/>
        </w:rPr>
        <w:t>guests participating</w:t>
      </w:r>
    </w:p>
    <w:p w:rsidR="00830F74" w:rsidRDefault="00830F74" w14:paraId="744CB0D2" w14:textId="77777777"/>
    <w:sectPr w:rsidR="00830F7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C09E9"/>
    <w:multiLevelType w:val="hybridMultilevel"/>
    <w:tmpl w:val="FDC4D778"/>
    <w:lvl w:ilvl="0" w:tplc="B8EE0A9A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BB0342"/>
    <w:multiLevelType w:val="hybridMultilevel"/>
    <w:tmpl w:val="5628A208"/>
    <w:lvl w:ilvl="0" w:tplc="5044C404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DC417E8"/>
    <w:multiLevelType w:val="hybridMultilevel"/>
    <w:tmpl w:val="7B5E6320"/>
    <w:lvl w:ilvl="0" w:tplc="F5BCF0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74"/>
    <w:rsid w:val="00007186"/>
    <w:rsid w:val="001F444E"/>
    <w:rsid w:val="00275253"/>
    <w:rsid w:val="0051615A"/>
    <w:rsid w:val="00531269"/>
    <w:rsid w:val="005C53DA"/>
    <w:rsid w:val="007C37BE"/>
    <w:rsid w:val="00806726"/>
    <w:rsid w:val="00830F74"/>
    <w:rsid w:val="009B22DA"/>
    <w:rsid w:val="009C4EDD"/>
    <w:rsid w:val="00B1694D"/>
    <w:rsid w:val="00B64C46"/>
    <w:rsid w:val="00C678EA"/>
    <w:rsid w:val="00EA5907"/>
    <w:rsid w:val="00EB6CAB"/>
    <w:rsid w:val="4B8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69AB"/>
  <w15:chartTrackingRefBased/>
  <w15:docId w15:val="{DD1047AF-E804-4B30-9507-EA1901DC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30F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30F74"/>
  </w:style>
  <w:style w:type="character" w:styleId="eop" w:customStyle="1">
    <w:name w:val="eop"/>
    <w:basedOn w:val="DefaultParagraphFont"/>
    <w:rsid w:val="00830F74"/>
  </w:style>
  <w:style w:type="paragraph" w:styleId="ListParagraph">
    <w:name w:val="List Paragraph"/>
    <w:basedOn w:val="Normal"/>
    <w:uiPriority w:val="34"/>
    <w:qFormat/>
    <w:rsid w:val="00830F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52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3" ma:contentTypeDescription="Create a new document." ma:contentTypeScope="" ma:versionID="81419b8494eb94527c2d946e431c782d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fbe643ce4b9af35340185d4adc6d1f0d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6F11E-F7E3-4E24-B749-6442CB90A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709BF-E7F0-4A1A-8451-D23530900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8CC21-D428-4AC8-8FC9-708098FB099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Keleigh Pereira</dc:creator>
  <keywords/>
  <dc:description/>
  <lastModifiedBy>Keleigh Pereira</lastModifiedBy>
  <revision>4</revision>
  <dcterms:created xsi:type="dcterms:W3CDTF">2022-01-28T17:48:00.0000000Z</dcterms:created>
  <dcterms:modified xsi:type="dcterms:W3CDTF">2022-02-11T19:09:00.5495309Z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