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B199A" w14:textId="77777777" w:rsidR="000F4F86" w:rsidRPr="000F4F86" w:rsidRDefault="000F4F86" w:rsidP="000F4F86">
      <w:pPr>
        <w:pStyle w:val="paragraph"/>
        <w:spacing w:before="0" w:beforeAutospacing="0" w:after="0" w:afterAutospacing="0"/>
        <w:ind w:left="720" w:right="360"/>
        <w:jc w:val="center"/>
        <w:textAlignment w:val="baseline"/>
        <w:rPr>
          <w:rFonts w:asciiTheme="minorHAnsi" w:hAnsiTheme="minorHAnsi" w:cstheme="minorHAnsi"/>
          <w:color w:val="000000"/>
          <w:sz w:val="22"/>
          <w:szCs w:val="22"/>
        </w:rPr>
      </w:pPr>
      <w:bookmarkStart w:id="0" w:name="_GoBack"/>
      <w:bookmarkEnd w:id="0"/>
      <w:r w:rsidRPr="000F4F86">
        <w:rPr>
          <w:rStyle w:val="normaltextrun"/>
          <w:rFonts w:asciiTheme="minorHAnsi" w:hAnsiTheme="minorHAnsi" w:cstheme="minorHAnsi"/>
          <w:color w:val="000000"/>
          <w:sz w:val="22"/>
          <w:szCs w:val="22"/>
        </w:rPr>
        <w:t>Community Action Pioneer Valley’s Three County CoC</w:t>
      </w:r>
    </w:p>
    <w:p w14:paraId="300D6CCF" w14:textId="77777777" w:rsidR="000F4F86" w:rsidRDefault="000F4F86" w:rsidP="000F4F86">
      <w:pPr>
        <w:pStyle w:val="paragraph"/>
        <w:spacing w:before="0" w:beforeAutospacing="0" w:after="0" w:afterAutospacing="0"/>
        <w:ind w:left="720" w:right="360"/>
        <w:jc w:val="center"/>
        <w:textAlignment w:val="baseline"/>
        <w:rPr>
          <w:rStyle w:val="normaltextrun"/>
          <w:rFonts w:asciiTheme="minorHAnsi" w:hAnsiTheme="minorHAnsi" w:cstheme="minorHAnsi"/>
          <w:b/>
          <w:bCs/>
          <w:i/>
          <w:iCs/>
          <w:color w:val="000000"/>
          <w:sz w:val="22"/>
          <w:szCs w:val="22"/>
        </w:rPr>
      </w:pPr>
      <w:r w:rsidRPr="000F4F86">
        <w:rPr>
          <w:rStyle w:val="normaltextrun"/>
          <w:rFonts w:asciiTheme="minorHAnsi" w:hAnsiTheme="minorHAnsi" w:cstheme="minorHAnsi"/>
          <w:b/>
          <w:bCs/>
          <w:i/>
          <w:iCs/>
          <w:color w:val="000000"/>
          <w:sz w:val="22"/>
          <w:szCs w:val="22"/>
        </w:rPr>
        <w:t xml:space="preserve">Special Board Meeting, </w:t>
      </w:r>
      <w:r>
        <w:rPr>
          <w:rStyle w:val="normaltextrun"/>
          <w:rFonts w:asciiTheme="minorHAnsi" w:hAnsiTheme="minorHAnsi" w:cstheme="minorHAnsi"/>
          <w:b/>
          <w:bCs/>
          <w:i/>
          <w:iCs/>
          <w:color w:val="000000"/>
          <w:sz w:val="22"/>
          <w:szCs w:val="22"/>
        </w:rPr>
        <w:t xml:space="preserve">NOFO &amp; RFP Planning and </w:t>
      </w:r>
    </w:p>
    <w:p w14:paraId="652FFE2D" w14:textId="77777777" w:rsidR="000F4F86" w:rsidRPr="000F4F86" w:rsidRDefault="000F4F86" w:rsidP="000F4F86">
      <w:pPr>
        <w:pStyle w:val="paragraph"/>
        <w:spacing w:before="0" w:beforeAutospacing="0" w:after="0" w:afterAutospacing="0"/>
        <w:ind w:left="720" w:right="360"/>
        <w:jc w:val="center"/>
        <w:textAlignment w:val="baseline"/>
        <w:rPr>
          <w:rFonts w:asciiTheme="minorHAnsi" w:hAnsiTheme="minorHAnsi" w:cstheme="minorHAnsi"/>
          <w:color w:val="000000"/>
          <w:sz w:val="22"/>
          <w:szCs w:val="22"/>
        </w:rPr>
      </w:pPr>
      <w:r>
        <w:rPr>
          <w:rStyle w:val="normaltextrun"/>
          <w:rFonts w:asciiTheme="minorHAnsi" w:hAnsiTheme="minorHAnsi" w:cstheme="minorHAnsi"/>
          <w:b/>
          <w:bCs/>
          <w:i/>
          <w:iCs/>
          <w:color w:val="000000"/>
          <w:sz w:val="22"/>
          <w:szCs w:val="22"/>
        </w:rPr>
        <w:t>Updated Project Application Scoring &amp; Ranking Plan</w:t>
      </w:r>
      <w:r w:rsidRPr="000F4F86">
        <w:rPr>
          <w:rStyle w:val="normaltextrun"/>
          <w:rFonts w:asciiTheme="minorHAnsi" w:hAnsiTheme="minorHAnsi" w:cstheme="minorHAnsi"/>
          <w:b/>
          <w:bCs/>
          <w:i/>
          <w:iCs/>
          <w:color w:val="000000"/>
          <w:sz w:val="22"/>
          <w:szCs w:val="22"/>
        </w:rPr>
        <w:t xml:space="preserve">. </w:t>
      </w:r>
    </w:p>
    <w:p w14:paraId="2D976848" w14:textId="77777777" w:rsidR="000F4F86" w:rsidRDefault="000F4F86" w:rsidP="000F4F86">
      <w:pPr>
        <w:pStyle w:val="paragraph"/>
        <w:spacing w:before="0" w:beforeAutospacing="0" w:after="0" w:afterAutospacing="0"/>
        <w:ind w:left="720" w:right="360"/>
        <w:jc w:val="center"/>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3-4:30pm Tuesday, September 14, 2021</w:t>
      </w:r>
      <w:r w:rsidRPr="000F4F86">
        <w:rPr>
          <w:rStyle w:val="normaltextrun"/>
          <w:rFonts w:asciiTheme="minorHAnsi" w:hAnsiTheme="minorHAnsi" w:cstheme="minorHAnsi"/>
          <w:b/>
          <w:bCs/>
          <w:color w:val="000000"/>
          <w:sz w:val="22"/>
          <w:szCs w:val="22"/>
        </w:rPr>
        <w:t>.  This meeting will be held on zoom.</w:t>
      </w:r>
    </w:p>
    <w:p w14:paraId="672A6659" w14:textId="77777777" w:rsidR="000F4F86" w:rsidRDefault="000F4F86" w:rsidP="000F4F86">
      <w:pPr>
        <w:pStyle w:val="paragraph"/>
        <w:spacing w:before="0" w:beforeAutospacing="0" w:after="0" w:afterAutospacing="0"/>
        <w:ind w:left="720" w:right="360"/>
        <w:jc w:val="center"/>
        <w:textAlignment w:val="baseline"/>
        <w:rPr>
          <w:rStyle w:val="normaltextrun"/>
          <w:rFonts w:asciiTheme="minorHAnsi" w:hAnsiTheme="minorHAnsi" w:cstheme="minorHAnsi"/>
          <w:b/>
          <w:bCs/>
          <w:color w:val="000000"/>
          <w:sz w:val="22"/>
          <w:szCs w:val="22"/>
        </w:rPr>
      </w:pPr>
    </w:p>
    <w:p w14:paraId="63791D99" w14:textId="0BA02120" w:rsidR="000F4F86" w:rsidRDefault="000F4F86" w:rsidP="6C1B570F">
      <w:pPr>
        <w:pStyle w:val="paragraph"/>
        <w:spacing w:before="0" w:beforeAutospacing="0" w:after="0" w:afterAutospacing="0"/>
        <w:ind w:right="360"/>
        <w:textAlignment w:val="baseline"/>
        <w:rPr>
          <w:rStyle w:val="normaltextrun"/>
          <w:rFonts w:asciiTheme="minorHAnsi" w:hAnsiTheme="minorHAnsi" w:cstheme="minorBidi"/>
          <w:b/>
          <w:bCs/>
          <w:color w:val="000000"/>
          <w:sz w:val="22"/>
          <w:szCs w:val="22"/>
        </w:rPr>
      </w:pPr>
      <w:r w:rsidRPr="6C1B570F">
        <w:rPr>
          <w:rStyle w:val="normaltextrun"/>
          <w:rFonts w:asciiTheme="minorHAnsi" w:hAnsiTheme="minorHAnsi" w:cstheme="minorBidi"/>
          <w:b/>
          <w:bCs/>
          <w:i/>
          <w:iCs/>
          <w:color w:val="000000" w:themeColor="text1"/>
          <w:sz w:val="22"/>
          <w:szCs w:val="22"/>
        </w:rPr>
        <w:t>Present:</w:t>
      </w:r>
      <w:r w:rsidRPr="6C1B570F">
        <w:rPr>
          <w:rStyle w:val="normaltextrun"/>
          <w:rFonts w:asciiTheme="minorHAnsi" w:hAnsiTheme="minorHAnsi" w:cstheme="minorBidi"/>
          <w:b/>
          <w:bCs/>
          <w:color w:val="000000" w:themeColor="text1"/>
          <w:sz w:val="22"/>
          <w:szCs w:val="22"/>
        </w:rPr>
        <w:t xml:space="preserve"> </w:t>
      </w:r>
      <w:r w:rsidR="792ECFB7" w:rsidRPr="6C1B570F">
        <w:rPr>
          <w:rStyle w:val="normaltextrun"/>
          <w:rFonts w:asciiTheme="minorHAnsi" w:hAnsiTheme="minorHAnsi" w:cstheme="minorBidi"/>
          <w:b/>
          <w:bCs/>
          <w:color w:val="000000" w:themeColor="text1"/>
          <w:sz w:val="22"/>
          <w:szCs w:val="22"/>
        </w:rPr>
        <w:t xml:space="preserve">Non-CoC funded Board members - </w:t>
      </w:r>
      <w:r w:rsidR="00202018" w:rsidRPr="6C1B570F">
        <w:rPr>
          <w:rStyle w:val="normaltextrun"/>
          <w:rFonts w:asciiTheme="minorHAnsi" w:hAnsiTheme="minorHAnsi" w:cstheme="minorBidi"/>
          <w:b/>
          <w:bCs/>
          <w:color w:val="000000" w:themeColor="text1"/>
          <w:sz w:val="22"/>
          <w:szCs w:val="22"/>
        </w:rPr>
        <w:t xml:space="preserve">Brad Gordon, Mike </w:t>
      </w:r>
      <w:proofErr w:type="spellStart"/>
      <w:r w:rsidR="1AE88384" w:rsidRPr="6C1B570F">
        <w:rPr>
          <w:rStyle w:val="normaltextrun"/>
          <w:rFonts w:asciiTheme="minorHAnsi" w:hAnsiTheme="minorHAnsi" w:cstheme="minorBidi"/>
          <w:b/>
          <w:bCs/>
          <w:color w:val="000000" w:themeColor="text1"/>
          <w:sz w:val="22"/>
          <w:szCs w:val="22"/>
        </w:rPr>
        <w:t>Hagmaier</w:t>
      </w:r>
      <w:proofErr w:type="spellEnd"/>
      <w:r w:rsidR="00202018" w:rsidRPr="6C1B570F">
        <w:rPr>
          <w:rStyle w:val="normaltextrun"/>
          <w:rFonts w:asciiTheme="minorHAnsi" w:hAnsiTheme="minorHAnsi" w:cstheme="minorBidi"/>
          <w:b/>
          <w:bCs/>
          <w:color w:val="000000" w:themeColor="text1"/>
          <w:sz w:val="22"/>
          <w:szCs w:val="22"/>
        </w:rPr>
        <w:t xml:space="preserve">, Justine </w:t>
      </w:r>
      <w:proofErr w:type="spellStart"/>
      <w:r w:rsidR="00202018" w:rsidRPr="6C1B570F">
        <w:rPr>
          <w:rStyle w:val="normaltextrun"/>
          <w:rFonts w:asciiTheme="minorHAnsi" w:hAnsiTheme="minorHAnsi" w:cstheme="minorBidi"/>
          <w:b/>
          <w:bCs/>
          <w:color w:val="000000" w:themeColor="text1"/>
          <w:sz w:val="22"/>
          <w:szCs w:val="22"/>
        </w:rPr>
        <w:t>Dodds</w:t>
      </w:r>
      <w:proofErr w:type="spellEnd"/>
      <w:r w:rsidR="00202018" w:rsidRPr="6C1B570F">
        <w:rPr>
          <w:rStyle w:val="normaltextrun"/>
          <w:rFonts w:asciiTheme="minorHAnsi" w:hAnsiTheme="minorHAnsi" w:cstheme="minorBidi"/>
          <w:b/>
          <w:bCs/>
          <w:color w:val="000000" w:themeColor="text1"/>
          <w:sz w:val="22"/>
          <w:szCs w:val="22"/>
        </w:rPr>
        <w:t xml:space="preserve">, </w:t>
      </w:r>
      <w:r w:rsidR="2049CC3C" w:rsidRPr="6C1B570F">
        <w:rPr>
          <w:rStyle w:val="normaltextrun"/>
          <w:rFonts w:asciiTheme="minorHAnsi" w:hAnsiTheme="minorHAnsi" w:cstheme="minorBidi"/>
          <w:b/>
          <w:bCs/>
          <w:color w:val="000000" w:themeColor="text1"/>
          <w:sz w:val="22"/>
          <w:szCs w:val="22"/>
        </w:rPr>
        <w:t>S</w:t>
      </w:r>
      <w:r w:rsidR="00202018" w:rsidRPr="6C1B570F">
        <w:rPr>
          <w:rStyle w:val="normaltextrun"/>
          <w:rFonts w:asciiTheme="minorHAnsi" w:hAnsiTheme="minorHAnsi" w:cstheme="minorBidi"/>
          <w:b/>
          <w:bCs/>
          <w:color w:val="000000" w:themeColor="text1"/>
          <w:sz w:val="22"/>
          <w:szCs w:val="22"/>
        </w:rPr>
        <w:t>tacy Parsons, Pamela Schwartz</w:t>
      </w:r>
      <w:r w:rsidR="00FF66F2" w:rsidRPr="6C1B570F">
        <w:rPr>
          <w:rStyle w:val="normaltextrun"/>
          <w:rFonts w:asciiTheme="minorHAnsi" w:hAnsiTheme="minorHAnsi" w:cstheme="minorBidi"/>
          <w:b/>
          <w:bCs/>
          <w:color w:val="000000" w:themeColor="text1"/>
          <w:sz w:val="22"/>
          <w:szCs w:val="22"/>
        </w:rPr>
        <w:t xml:space="preserve">, Diana </w:t>
      </w:r>
      <w:proofErr w:type="spellStart"/>
      <w:r w:rsidR="00FF66F2" w:rsidRPr="6C1B570F">
        <w:rPr>
          <w:rStyle w:val="normaltextrun"/>
          <w:rFonts w:asciiTheme="minorHAnsi" w:hAnsiTheme="minorHAnsi" w:cstheme="minorBidi"/>
          <w:b/>
          <w:bCs/>
          <w:color w:val="000000" w:themeColor="text1"/>
          <w:sz w:val="22"/>
          <w:szCs w:val="22"/>
        </w:rPr>
        <w:t>Abath</w:t>
      </w:r>
      <w:proofErr w:type="spellEnd"/>
      <w:r w:rsidR="00C178F6" w:rsidRPr="6C1B570F">
        <w:rPr>
          <w:rStyle w:val="normaltextrun"/>
          <w:rFonts w:asciiTheme="minorHAnsi" w:hAnsiTheme="minorHAnsi" w:cstheme="minorBidi"/>
          <w:b/>
          <w:bCs/>
          <w:color w:val="000000" w:themeColor="text1"/>
          <w:sz w:val="22"/>
          <w:szCs w:val="22"/>
        </w:rPr>
        <w:t xml:space="preserve">, Kasey </w:t>
      </w:r>
      <w:proofErr w:type="spellStart"/>
      <w:r w:rsidR="00C178F6" w:rsidRPr="6C1B570F">
        <w:rPr>
          <w:rStyle w:val="normaltextrun"/>
          <w:rFonts w:asciiTheme="minorHAnsi" w:hAnsiTheme="minorHAnsi" w:cstheme="minorBidi"/>
          <w:b/>
          <w:bCs/>
          <w:color w:val="000000" w:themeColor="text1"/>
          <w:sz w:val="22"/>
          <w:szCs w:val="22"/>
        </w:rPr>
        <w:t>Ericksen</w:t>
      </w:r>
      <w:proofErr w:type="spellEnd"/>
      <w:r w:rsidR="00AA7FC5" w:rsidRPr="6C1B570F">
        <w:rPr>
          <w:rStyle w:val="normaltextrun"/>
          <w:rFonts w:asciiTheme="minorHAnsi" w:hAnsiTheme="minorHAnsi" w:cstheme="minorBidi"/>
          <w:b/>
          <w:bCs/>
          <w:color w:val="000000" w:themeColor="text1"/>
          <w:sz w:val="22"/>
          <w:szCs w:val="22"/>
        </w:rPr>
        <w:t xml:space="preserve">, </w:t>
      </w:r>
      <w:proofErr w:type="gramStart"/>
      <w:r w:rsidR="00AA7FC5" w:rsidRPr="6C1B570F">
        <w:rPr>
          <w:rStyle w:val="normaltextrun"/>
          <w:rFonts w:asciiTheme="minorHAnsi" w:hAnsiTheme="minorHAnsi" w:cstheme="minorBidi"/>
          <w:b/>
          <w:bCs/>
          <w:color w:val="000000" w:themeColor="text1"/>
          <w:sz w:val="22"/>
          <w:szCs w:val="22"/>
        </w:rPr>
        <w:t>Keleigh</w:t>
      </w:r>
      <w:proofErr w:type="gramEnd"/>
      <w:r w:rsidR="00AA7FC5" w:rsidRPr="6C1B570F">
        <w:rPr>
          <w:rStyle w:val="normaltextrun"/>
          <w:rFonts w:asciiTheme="minorHAnsi" w:hAnsiTheme="minorHAnsi" w:cstheme="minorBidi"/>
          <w:b/>
          <w:bCs/>
          <w:color w:val="000000" w:themeColor="text1"/>
          <w:sz w:val="22"/>
          <w:szCs w:val="22"/>
        </w:rPr>
        <w:t xml:space="preserve"> Pereira.</w:t>
      </w:r>
    </w:p>
    <w:p w14:paraId="0A37501D" w14:textId="77777777" w:rsidR="000F4F86" w:rsidRDefault="000F4F86" w:rsidP="000F4F86">
      <w:pPr>
        <w:pStyle w:val="paragraph"/>
        <w:spacing w:before="0" w:beforeAutospacing="0" w:after="0" w:afterAutospacing="0"/>
        <w:ind w:left="720" w:right="360"/>
        <w:textAlignment w:val="baseline"/>
        <w:rPr>
          <w:rStyle w:val="normaltextrun"/>
          <w:rFonts w:asciiTheme="minorHAnsi" w:hAnsiTheme="minorHAnsi" w:cstheme="minorHAnsi"/>
          <w:b/>
          <w:bCs/>
          <w:color w:val="000000"/>
          <w:sz w:val="22"/>
          <w:szCs w:val="22"/>
        </w:rPr>
      </w:pPr>
    </w:p>
    <w:p w14:paraId="1D6AC274" w14:textId="77777777" w:rsidR="000F4F86" w:rsidRPr="00A448CD" w:rsidRDefault="000F4F86" w:rsidP="000F4F86">
      <w:pPr>
        <w:pStyle w:val="paragraph"/>
        <w:spacing w:before="0" w:beforeAutospacing="0" w:after="0" w:afterAutospacing="0"/>
        <w:ind w:right="360"/>
        <w:textAlignment w:val="baseline"/>
        <w:rPr>
          <w:rStyle w:val="normaltextrun"/>
          <w:rFonts w:asciiTheme="minorHAnsi" w:hAnsiTheme="minorHAnsi" w:cstheme="minorHAnsi"/>
          <w:bCs/>
          <w:i/>
          <w:color w:val="000000"/>
          <w:sz w:val="22"/>
          <w:szCs w:val="22"/>
        </w:rPr>
      </w:pPr>
      <w:r w:rsidRPr="00A448CD">
        <w:rPr>
          <w:rStyle w:val="normaltextrun"/>
          <w:rFonts w:asciiTheme="minorHAnsi" w:hAnsiTheme="minorHAnsi" w:cstheme="minorHAnsi"/>
          <w:b/>
          <w:bCs/>
          <w:i/>
          <w:color w:val="000000"/>
          <w:sz w:val="22"/>
          <w:szCs w:val="22"/>
        </w:rPr>
        <w:t>RPF Planning and updates</w:t>
      </w:r>
    </w:p>
    <w:p w14:paraId="44BDBCBC" w14:textId="77777777" w:rsidR="000F4F86" w:rsidRPr="000F4F86" w:rsidRDefault="000F4F86" w:rsidP="000F4F86">
      <w:pPr>
        <w:keepNext/>
        <w:keepLines/>
        <w:spacing w:before="40" w:after="0"/>
        <w:outlineLvl w:val="2"/>
        <w:rPr>
          <w:rFonts w:ascii="Calibri" w:eastAsiaTheme="majorEastAsia" w:hAnsi="Calibri" w:cstheme="majorBidi"/>
        </w:rPr>
      </w:pPr>
      <w:r w:rsidRPr="000F4F86">
        <w:rPr>
          <w:rFonts w:ascii="Calibri" w:eastAsiaTheme="majorEastAsia" w:hAnsi="Calibri" w:cstheme="majorBidi"/>
        </w:rPr>
        <w:t>RFP Available: Wednesday, September 15, 2021</w:t>
      </w:r>
    </w:p>
    <w:p w14:paraId="395E24FE" w14:textId="77777777" w:rsidR="000F4F86" w:rsidRPr="000F4F86" w:rsidRDefault="00C25AA7" w:rsidP="000F4F86">
      <w:pPr>
        <w:spacing w:after="0" w:line="240" w:lineRule="auto"/>
        <w:rPr>
          <w:bCs/>
          <w:iCs/>
        </w:rPr>
      </w:pPr>
      <w:hyperlink r:id="rId8" w:history="1">
        <w:r w:rsidR="000F4F86" w:rsidRPr="000F4F86">
          <w:rPr>
            <w:bCs/>
            <w:iCs/>
            <w:u w:val="single"/>
          </w:rPr>
          <w:t>https://www.threecountycoc.communityaction.us/news-events</w:t>
        </w:r>
      </w:hyperlink>
    </w:p>
    <w:p w14:paraId="5DAB6C7B" w14:textId="77777777" w:rsidR="000F4F86" w:rsidRPr="000F4F86" w:rsidRDefault="000F4F86" w:rsidP="000F4F86">
      <w:pPr>
        <w:spacing w:after="0" w:line="240" w:lineRule="auto"/>
      </w:pPr>
    </w:p>
    <w:p w14:paraId="4D383A95" w14:textId="77777777" w:rsidR="000F4F86" w:rsidRPr="000F4F86" w:rsidRDefault="000F4F86" w:rsidP="000F4F86">
      <w:pPr>
        <w:keepNext/>
        <w:keepLines/>
        <w:spacing w:before="52" w:after="0"/>
        <w:outlineLvl w:val="2"/>
        <w:rPr>
          <w:rFonts w:ascii="Calibri" w:eastAsiaTheme="majorEastAsia" w:hAnsi="Calibri" w:cstheme="majorBidi"/>
        </w:rPr>
      </w:pPr>
      <w:r w:rsidRPr="000F4F86">
        <w:rPr>
          <w:rFonts w:ascii="Calibri" w:eastAsiaTheme="majorEastAsia" w:hAnsi="Calibri" w:cstheme="majorBidi"/>
        </w:rPr>
        <w:t xml:space="preserve">Bidder’s Conference: </w:t>
      </w:r>
      <w:r w:rsidR="00202018">
        <w:rPr>
          <w:rFonts w:ascii="Calibri" w:eastAsiaTheme="majorEastAsia" w:hAnsi="Calibri" w:cstheme="majorBidi"/>
        </w:rPr>
        <w:t>Tuesday</w:t>
      </w:r>
      <w:r w:rsidRPr="000F4F86">
        <w:rPr>
          <w:rFonts w:ascii="Calibri" w:eastAsiaTheme="majorEastAsia" w:hAnsi="Calibri" w:cstheme="majorBidi"/>
        </w:rPr>
        <w:t xml:space="preserve">, September 28, 2021, 3 </w:t>
      </w:r>
      <w:proofErr w:type="spellStart"/>
      <w:r w:rsidRPr="000F4F86">
        <w:rPr>
          <w:rFonts w:ascii="Calibri" w:eastAsiaTheme="majorEastAsia" w:hAnsi="Calibri" w:cstheme="majorBidi"/>
        </w:rPr>
        <w:t>p.m</w:t>
      </w:r>
      <w:proofErr w:type="spellEnd"/>
    </w:p>
    <w:p w14:paraId="706DFC05" w14:textId="77777777" w:rsidR="000F4F86" w:rsidRPr="000F4F86" w:rsidRDefault="000F4F86" w:rsidP="000F4F86">
      <w:pPr>
        <w:spacing w:before="24" w:after="120"/>
      </w:pPr>
      <w:r w:rsidRPr="000F4F86">
        <w:t xml:space="preserve">Zoom Link: </w:t>
      </w:r>
      <w:hyperlink r:id="rId9" w:history="1">
        <w:r w:rsidRPr="000F4F86">
          <w:rPr>
            <w:u w:val="single"/>
          </w:rPr>
          <w:t>https://us02web.zoom.us/j/88480017452?pwd=akxyY3o1ak5naVV0RW9VSjZLcjZ0QT09</w:t>
        </w:r>
      </w:hyperlink>
    </w:p>
    <w:p w14:paraId="51512BF1" w14:textId="77777777" w:rsidR="000F4F86" w:rsidRPr="000F4F86" w:rsidRDefault="000F4F86" w:rsidP="000F4F86">
      <w:pPr>
        <w:keepNext/>
        <w:keepLines/>
        <w:spacing w:before="184" w:after="0"/>
        <w:outlineLvl w:val="2"/>
        <w:rPr>
          <w:rFonts w:ascii="Calibri" w:eastAsiaTheme="majorEastAsia" w:hAnsi="Calibri" w:cstheme="majorBidi"/>
        </w:rPr>
      </w:pPr>
      <w:r w:rsidRPr="000F4F86">
        <w:rPr>
          <w:rFonts w:ascii="Calibri" w:eastAsiaTheme="majorEastAsia" w:hAnsi="Calibri" w:cstheme="majorBidi"/>
          <w:u w:val="single" w:color="001F5F"/>
        </w:rPr>
        <w:t>Applications Due: Friday, October 15, 2021, 5 p.m.</w:t>
      </w:r>
    </w:p>
    <w:p w14:paraId="1AEB401F" w14:textId="77777777" w:rsidR="000F4F86" w:rsidRPr="000F4F86" w:rsidRDefault="000F4F86" w:rsidP="000F4F86">
      <w:pPr>
        <w:spacing w:after="0" w:line="240" w:lineRule="auto"/>
      </w:pPr>
      <w:r w:rsidRPr="000F4F86">
        <w:t xml:space="preserve">On-line applications submitted in </w:t>
      </w:r>
      <w:proofErr w:type="spellStart"/>
      <w:r w:rsidRPr="000F4F86">
        <w:t>esnaps</w:t>
      </w:r>
      <w:proofErr w:type="spellEnd"/>
      <w:r w:rsidRPr="000F4F86">
        <w:t xml:space="preserve">; Supplemental applications (Renewal and New) to Keleigh Pereira, CoC Program Director, </w:t>
      </w:r>
      <w:hyperlink r:id="rId10" w:history="1">
        <w:r w:rsidRPr="000F4F86">
          <w:t>kpereira@communityaction.us</w:t>
        </w:r>
      </w:hyperlink>
      <w:r w:rsidRPr="000F4F86">
        <w:t xml:space="preserve"> </w:t>
      </w:r>
    </w:p>
    <w:p w14:paraId="02EB378F" w14:textId="77777777" w:rsidR="000F4F86" w:rsidRPr="00A448CD" w:rsidRDefault="000F4F86" w:rsidP="000F4F86">
      <w:pPr>
        <w:pStyle w:val="paragraph"/>
        <w:spacing w:before="0" w:beforeAutospacing="0" w:after="0" w:afterAutospacing="0"/>
        <w:ind w:right="360"/>
        <w:textAlignment w:val="baseline"/>
        <w:rPr>
          <w:rStyle w:val="normaltextrun"/>
          <w:rFonts w:asciiTheme="minorHAnsi" w:hAnsiTheme="minorHAnsi" w:cstheme="minorHAnsi"/>
          <w:bCs/>
          <w:i/>
          <w:color w:val="000000"/>
          <w:sz w:val="22"/>
          <w:szCs w:val="22"/>
        </w:rPr>
      </w:pPr>
    </w:p>
    <w:p w14:paraId="4EC30055" w14:textId="77777777" w:rsidR="000F4F86" w:rsidRPr="00A448CD" w:rsidRDefault="000F4F86" w:rsidP="000F4F86">
      <w:pPr>
        <w:pStyle w:val="paragraph"/>
        <w:spacing w:before="0" w:beforeAutospacing="0" w:after="0" w:afterAutospacing="0"/>
        <w:ind w:right="360"/>
        <w:textAlignment w:val="baseline"/>
        <w:rPr>
          <w:rFonts w:asciiTheme="minorHAnsi" w:hAnsiTheme="minorHAnsi" w:cstheme="minorHAnsi"/>
          <w:i/>
          <w:sz w:val="22"/>
          <w:szCs w:val="22"/>
        </w:rPr>
      </w:pPr>
      <w:r w:rsidRPr="000F4F86">
        <w:rPr>
          <w:rFonts w:asciiTheme="minorHAnsi" w:hAnsiTheme="minorHAnsi" w:cstheme="minorHAnsi"/>
          <w:b/>
          <w:i/>
          <w:sz w:val="22"/>
          <w:szCs w:val="22"/>
        </w:rPr>
        <w:t>Consider/Approve new project types being offered in the Request for Proposals</w:t>
      </w:r>
      <w:r w:rsidRPr="000F4F86">
        <w:rPr>
          <w:rFonts w:asciiTheme="minorHAnsi" w:hAnsiTheme="minorHAnsi" w:cstheme="minorHAnsi"/>
          <w:i/>
          <w:sz w:val="22"/>
          <w:szCs w:val="22"/>
        </w:rPr>
        <w:t> </w:t>
      </w:r>
    </w:p>
    <w:p w14:paraId="2DCEDA59" w14:textId="77777777" w:rsidR="000F4F86" w:rsidRPr="000F4F86" w:rsidRDefault="000F4F86" w:rsidP="000F4F86">
      <w:pPr>
        <w:spacing w:before="100" w:beforeAutospacing="1" w:after="100" w:afterAutospacing="1" w:line="240" w:lineRule="auto"/>
        <w:textAlignment w:val="baseline"/>
        <w:rPr>
          <w:rFonts w:eastAsia="Times New Roman" w:cstheme="minorHAnsi"/>
        </w:rPr>
      </w:pPr>
      <w:r w:rsidRPr="000F4F86">
        <w:rPr>
          <w:rFonts w:eastAsia="Times New Roman" w:cstheme="minorHAnsi"/>
        </w:rPr>
        <w:t xml:space="preserve">The consolidated application will be submitted by CAPV and will include a CoC application, renewal, expansion and new projects from prior competitions, as well as renewal and replacement YHDP </w:t>
      </w:r>
      <w:proofErr w:type="gramStart"/>
      <w:r w:rsidRPr="000F4F86">
        <w:rPr>
          <w:rFonts w:eastAsia="Times New Roman" w:cstheme="minorHAnsi"/>
        </w:rPr>
        <w:t>projects</w:t>
      </w:r>
      <w:proofErr w:type="gramEnd"/>
      <w:r w:rsidRPr="000F4F86">
        <w:rPr>
          <w:rFonts w:eastAsia="Times New Roman" w:cstheme="minorHAnsi"/>
        </w:rPr>
        <w:t>.  CAPV’s Three County CoC</w:t>
      </w:r>
      <w:r w:rsidRPr="000F4F86">
        <w:rPr>
          <w:rFonts w:eastAsia="Times New Roman" w:cstheme="minorHAnsi"/>
          <w:b/>
        </w:rPr>
        <w:t xml:space="preserve"> </w:t>
      </w:r>
      <w:r w:rsidRPr="000F4F86">
        <w:rPr>
          <w:rFonts w:eastAsia="Times New Roman" w:cstheme="minorHAnsi"/>
        </w:rPr>
        <w:t xml:space="preserve">is seeking proposals from Berkshire, Hampshire, and Franklin County housing and service providers for the following project types: </w:t>
      </w:r>
    </w:p>
    <w:p w14:paraId="17B88CFC" w14:textId="77777777" w:rsidR="000F4F86" w:rsidRPr="000F4F86" w:rsidRDefault="000F4F86" w:rsidP="000F4F86">
      <w:pPr>
        <w:numPr>
          <w:ilvl w:val="0"/>
          <w:numId w:val="2"/>
        </w:numPr>
        <w:contextualSpacing/>
      </w:pPr>
      <w:r w:rsidRPr="000F4F86">
        <w:t xml:space="preserve">Permanent Housing (PSH &amp; RRH) for youth and young adults or chronically homeless </w:t>
      </w:r>
    </w:p>
    <w:p w14:paraId="38CB0EBA" w14:textId="77777777" w:rsidR="000F4F86" w:rsidRPr="000F4F86" w:rsidRDefault="000F4F86" w:rsidP="000F4F86">
      <w:pPr>
        <w:numPr>
          <w:ilvl w:val="0"/>
          <w:numId w:val="2"/>
        </w:numPr>
        <w:contextualSpacing/>
      </w:pPr>
      <w:r w:rsidRPr="000F4F86">
        <w:t>Transitional Housing (TH) serving homeless individuals</w:t>
      </w:r>
    </w:p>
    <w:p w14:paraId="6E43D7D7" w14:textId="77777777" w:rsidR="000F4F86" w:rsidRDefault="000F4F86" w:rsidP="000F4F86">
      <w:pPr>
        <w:numPr>
          <w:ilvl w:val="0"/>
          <w:numId w:val="2"/>
        </w:numPr>
        <w:contextualSpacing/>
      </w:pPr>
      <w:r w:rsidRPr="000F4F86">
        <w:t>Combined Transitional Housing-Rapid Rehousing (TH-RRH) serving youth and young adults</w:t>
      </w:r>
    </w:p>
    <w:p w14:paraId="6A05A809" w14:textId="77777777" w:rsidR="000F4F86" w:rsidRPr="000F4F86" w:rsidRDefault="000F4F86" w:rsidP="000F4F86">
      <w:pPr>
        <w:ind w:left="720"/>
        <w:contextualSpacing/>
      </w:pPr>
    </w:p>
    <w:p w14:paraId="777BA7D7" w14:textId="77777777" w:rsidR="000F4F86" w:rsidRPr="000F4F86" w:rsidRDefault="000F4F86" w:rsidP="000F4F86">
      <w:r w:rsidRPr="000F4F86">
        <w:t>In addition, the CoC is seeking proposals for bonus funds (new or expansion of current projects) targeted to servicing victims of domestic violence, dating violence, sexual assault, and stalking.  DV Bonus projects may provide these new Bonus Projects:</w:t>
      </w:r>
    </w:p>
    <w:p w14:paraId="5BD7D6A2" w14:textId="77777777" w:rsidR="000F4F86" w:rsidRPr="000F4F86" w:rsidRDefault="000F4F86" w:rsidP="000F4F86">
      <w:pPr>
        <w:numPr>
          <w:ilvl w:val="0"/>
          <w:numId w:val="2"/>
        </w:numPr>
        <w:contextualSpacing/>
      </w:pPr>
      <w:r w:rsidRPr="000F4F86">
        <w:t>Permanent Housing, Serving Victims of Domestic Violence experiencing homelessness (RRH)</w:t>
      </w:r>
    </w:p>
    <w:p w14:paraId="0BD8A33E" w14:textId="77777777" w:rsidR="000F4F86" w:rsidRPr="000F4F86" w:rsidRDefault="000F4F86" w:rsidP="000F4F86">
      <w:pPr>
        <w:numPr>
          <w:ilvl w:val="0"/>
          <w:numId w:val="2"/>
        </w:numPr>
        <w:contextualSpacing/>
      </w:pPr>
      <w:r w:rsidRPr="000F4F86">
        <w:t>Coordinated Entry (CE-SSO)</w:t>
      </w:r>
    </w:p>
    <w:p w14:paraId="24BAC052" w14:textId="77777777" w:rsidR="000F4F86" w:rsidRPr="000F4F86" w:rsidRDefault="000F4F86" w:rsidP="000F4F86">
      <w:r w:rsidRPr="000F4F86">
        <w:t xml:space="preserve">And CoC Bonus funds will target the following project types: </w:t>
      </w:r>
    </w:p>
    <w:p w14:paraId="5B38B90E" w14:textId="77777777" w:rsidR="000F4F86" w:rsidRPr="000F4F86" w:rsidRDefault="000F4F86" w:rsidP="000F4F86">
      <w:pPr>
        <w:numPr>
          <w:ilvl w:val="0"/>
          <w:numId w:val="2"/>
        </w:numPr>
        <w:contextualSpacing/>
      </w:pPr>
      <w:r w:rsidRPr="000F4F86">
        <w:t xml:space="preserve">Permanent Housing, Projects Serving Chronically Homeless Individuals (PSH or RRH), with a demonstrated connection to health care access. </w:t>
      </w:r>
    </w:p>
    <w:p w14:paraId="65034FF5" w14:textId="77777777" w:rsidR="000F4F86" w:rsidRDefault="000F4F86" w:rsidP="000F4F86">
      <w:pPr>
        <w:pStyle w:val="paragraph"/>
        <w:spacing w:before="0" w:beforeAutospacing="0" w:after="0" w:afterAutospacing="0"/>
        <w:ind w:right="360"/>
        <w:textAlignment w:val="baseline"/>
        <w:rPr>
          <w:rFonts w:asciiTheme="minorHAnsi" w:hAnsiTheme="minorHAnsi" w:cstheme="minorHAnsi"/>
          <w:b/>
          <w:i/>
          <w:sz w:val="22"/>
          <w:szCs w:val="22"/>
        </w:rPr>
      </w:pPr>
      <w:r w:rsidRPr="00487377">
        <w:rPr>
          <w:rFonts w:asciiTheme="minorHAnsi" w:hAnsiTheme="minorHAnsi" w:cstheme="minorHAnsi"/>
          <w:b/>
          <w:i/>
          <w:sz w:val="22"/>
          <w:szCs w:val="22"/>
          <w:highlight w:val="yellow"/>
        </w:rPr>
        <w:t>Vote</w:t>
      </w:r>
      <w:r w:rsidR="00487377" w:rsidRPr="00487377">
        <w:rPr>
          <w:rFonts w:asciiTheme="minorHAnsi" w:hAnsiTheme="minorHAnsi" w:cstheme="minorHAnsi"/>
          <w:b/>
          <w:i/>
          <w:sz w:val="22"/>
          <w:szCs w:val="22"/>
          <w:highlight w:val="yellow"/>
        </w:rPr>
        <w:t xml:space="preserve"> on projec</w:t>
      </w:r>
      <w:r w:rsidR="00AA7FC5">
        <w:rPr>
          <w:rFonts w:asciiTheme="minorHAnsi" w:hAnsiTheme="minorHAnsi" w:cstheme="minorHAnsi"/>
          <w:b/>
          <w:i/>
          <w:sz w:val="22"/>
          <w:szCs w:val="22"/>
          <w:highlight w:val="yellow"/>
        </w:rPr>
        <w:t>t types as described in the RFP</w:t>
      </w:r>
      <w:r w:rsidR="00487377" w:rsidRPr="00487377">
        <w:rPr>
          <w:rFonts w:asciiTheme="minorHAnsi" w:hAnsiTheme="minorHAnsi" w:cstheme="minorHAnsi"/>
          <w:b/>
          <w:i/>
          <w:sz w:val="22"/>
          <w:szCs w:val="22"/>
          <w:highlight w:val="yellow"/>
        </w:rPr>
        <w:t xml:space="preserve"> &amp; for local gaps in services:</w:t>
      </w:r>
    </w:p>
    <w:p w14:paraId="11D165A0" w14:textId="77777777" w:rsidR="00202018" w:rsidRPr="00AA7FC5" w:rsidRDefault="00FF66F2" w:rsidP="000F4F86">
      <w:pPr>
        <w:pStyle w:val="paragraph"/>
        <w:spacing w:before="0" w:beforeAutospacing="0" w:after="0" w:afterAutospacing="0"/>
        <w:ind w:right="360"/>
        <w:textAlignment w:val="baseline"/>
        <w:rPr>
          <w:rFonts w:asciiTheme="minorHAnsi" w:hAnsiTheme="minorHAnsi" w:cstheme="minorHAnsi"/>
          <w:b/>
          <w:i/>
          <w:sz w:val="22"/>
          <w:szCs w:val="22"/>
          <w:highlight w:val="yellow"/>
        </w:rPr>
      </w:pPr>
      <w:r w:rsidRPr="00AA7FC5">
        <w:rPr>
          <w:rFonts w:asciiTheme="minorHAnsi" w:hAnsiTheme="minorHAnsi" w:cstheme="minorHAnsi"/>
          <w:b/>
          <w:i/>
          <w:sz w:val="22"/>
          <w:szCs w:val="22"/>
          <w:highlight w:val="yellow"/>
        </w:rPr>
        <w:t>DV RRH -</w:t>
      </w:r>
      <w:r w:rsidR="00202018" w:rsidRPr="00AA7FC5">
        <w:rPr>
          <w:rFonts w:asciiTheme="minorHAnsi" w:hAnsiTheme="minorHAnsi" w:cstheme="minorHAnsi"/>
          <w:b/>
          <w:i/>
          <w:sz w:val="22"/>
          <w:szCs w:val="22"/>
          <w:highlight w:val="yellow"/>
        </w:rPr>
        <w:t>Move – Justine, Seconded Brad</w:t>
      </w:r>
      <w:r w:rsidR="00AA7FC5">
        <w:rPr>
          <w:rFonts w:asciiTheme="minorHAnsi" w:hAnsiTheme="minorHAnsi" w:cstheme="minorHAnsi"/>
          <w:b/>
          <w:i/>
          <w:sz w:val="22"/>
          <w:szCs w:val="22"/>
          <w:highlight w:val="yellow"/>
        </w:rPr>
        <w:t xml:space="preserve">, </w:t>
      </w:r>
      <w:proofErr w:type="gramStart"/>
      <w:r w:rsidR="00AA7FC5">
        <w:rPr>
          <w:rFonts w:asciiTheme="minorHAnsi" w:hAnsiTheme="minorHAnsi" w:cstheme="minorHAnsi"/>
          <w:b/>
          <w:i/>
          <w:sz w:val="22"/>
          <w:szCs w:val="22"/>
          <w:highlight w:val="yellow"/>
        </w:rPr>
        <w:t>board</w:t>
      </w:r>
      <w:proofErr w:type="gramEnd"/>
      <w:r w:rsidR="00AA7FC5">
        <w:rPr>
          <w:rFonts w:asciiTheme="minorHAnsi" w:hAnsiTheme="minorHAnsi" w:cstheme="minorHAnsi"/>
          <w:b/>
          <w:i/>
          <w:sz w:val="22"/>
          <w:szCs w:val="22"/>
          <w:highlight w:val="yellow"/>
        </w:rPr>
        <w:t xml:space="preserve"> approved</w:t>
      </w:r>
    </w:p>
    <w:p w14:paraId="70415817" w14:textId="77777777" w:rsidR="00FF66F2" w:rsidRDefault="00FF66F2" w:rsidP="000F4F86">
      <w:pPr>
        <w:pStyle w:val="paragraph"/>
        <w:spacing w:before="0" w:beforeAutospacing="0" w:after="0" w:afterAutospacing="0"/>
        <w:ind w:right="360"/>
        <w:textAlignment w:val="baseline"/>
        <w:rPr>
          <w:rFonts w:asciiTheme="minorHAnsi" w:hAnsiTheme="minorHAnsi" w:cstheme="minorHAnsi"/>
          <w:b/>
          <w:i/>
          <w:sz w:val="22"/>
          <w:szCs w:val="22"/>
        </w:rPr>
      </w:pPr>
      <w:r w:rsidRPr="00AA7FC5">
        <w:rPr>
          <w:rFonts w:asciiTheme="minorHAnsi" w:hAnsiTheme="minorHAnsi" w:cstheme="minorHAnsi"/>
          <w:b/>
          <w:i/>
          <w:sz w:val="22"/>
          <w:szCs w:val="22"/>
          <w:highlight w:val="yellow"/>
        </w:rPr>
        <w:t>DV CE – move – Brad, Second Justine</w:t>
      </w:r>
      <w:r w:rsidR="00AA7FC5" w:rsidRPr="00AA7FC5">
        <w:rPr>
          <w:rFonts w:asciiTheme="minorHAnsi" w:hAnsiTheme="minorHAnsi" w:cstheme="minorHAnsi"/>
          <w:b/>
          <w:i/>
          <w:sz w:val="22"/>
          <w:szCs w:val="22"/>
          <w:highlight w:val="yellow"/>
        </w:rPr>
        <w:t>, board approved</w:t>
      </w:r>
    </w:p>
    <w:p w14:paraId="0C5B9190" w14:textId="77777777" w:rsidR="00FF66F2" w:rsidRDefault="00FF66F2" w:rsidP="000F4F86">
      <w:pPr>
        <w:pStyle w:val="paragraph"/>
        <w:spacing w:before="0" w:beforeAutospacing="0" w:after="0" w:afterAutospacing="0"/>
        <w:ind w:right="360"/>
        <w:textAlignment w:val="baseline"/>
        <w:rPr>
          <w:rFonts w:asciiTheme="minorHAnsi" w:hAnsiTheme="minorHAnsi" w:cstheme="minorHAnsi"/>
          <w:b/>
          <w:i/>
          <w:sz w:val="22"/>
          <w:szCs w:val="22"/>
        </w:rPr>
      </w:pPr>
      <w:r>
        <w:rPr>
          <w:rFonts w:asciiTheme="minorHAnsi" w:hAnsiTheme="minorHAnsi" w:cstheme="minorHAnsi"/>
          <w:b/>
          <w:i/>
          <w:sz w:val="22"/>
          <w:szCs w:val="22"/>
        </w:rPr>
        <w:t xml:space="preserve">Q – </w:t>
      </w:r>
      <w:proofErr w:type="gramStart"/>
      <w:r>
        <w:rPr>
          <w:rFonts w:asciiTheme="minorHAnsi" w:hAnsiTheme="minorHAnsi" w:cstheme="minorHAnsi"/>
          <w:b/>
          <w:i/>
          <w:sz w:val="22"/>
          <w:szCs w:val="22"/>
        </w:rPr>
        <w:t>can</w:t>
      </w:r>
      <w:proofErr w:type="gramEnd"/>
      <w:r>
        <w:rPr>
          <w:rFonts w:asciiTheme="minorHAnsi" w:hAnsiTheme="minorHAnsi" w:cstheme="minorHAnsi"/>
          <w:b/>
          <w:i/>
          <w:sz w:val="22"/>
          <w:szCs w:val="22"/>
        </w:rPr>
        <w:t xml:space="preserve"> the two types of bonuses be combined – Brad, Keleigh – unsure but can check</w:t>
      </w:r>
    </w:p>
    <w:p w14:paraId="4AB4EEBB" w14:textId="77777777" w:rsidR="00FF66F2" w:rsidRPr="000F4F86" w:rsidRDefault="00FF66F2" w:rsidP="000F4F86">
      <w:pPr>
        <w:pStyle w:val="paragraph"/>
        <w:spacing w:before="0" w:beforeAutospacing="0" w:after="0" w:afterAutospacing="0"/>
        <w:ind w:right="360"/>
        <w:textAlignment w:val="baseline"/>
        <w:rPr>
          <w:rFonts w:asciiTheme="minorHAnsi" w:hAnsiTheme="minorHAnsi" w:cstheme="minorHAnsi"/>
          <w:b/>
          <w:i/>
          <w:sz w:val="22"/>
          <w:szCs w:val="22"/>
        </w:rPr>
      </w:pPr>
      <w:proofErr w:type="spellStart"/>
      <w:r w:rsidRPr="00AA7FC5">
        <w:rPr>
          <w:rFonts w:asciiTheme="minorHAnsi" w:hAnsiTheme="minorHAnsi" w:cstheme="minorHAnsi"/>
          <w:b/>
          <w:i/>
          <w:sz w:val="22"/>
          <w:szCs w:val="22"/>
          <w:highlight w:val="yellow"/>
        </w:rPr>
        <w:t>COc</w:t>
      </w:r>
      <w:proofErr w:type="spellEnd"/>
      <w:r w:rsidRPr="00AA7FC5">
        <w:rPr>
          <w:rFonts w:asciiTheme="minorHAnsi" w:hAnsiTheme="minorHAnsi" w:cstheme="minorHAnsi"/>
          <w:b/>
          <w:i/>
          <w:sz w:val="22"/>
          <w:szCs w:val="22"/>
          <w:highlight w:val="yellow"/>
        </w:rPr>
        <w:t xml:space="preserve"> Bonus Plan – Brad, Mike seconded</w:t>
      </w:r>
      <w:r w:rsidR="00AA7FC5" w:rsidRPr="00AA7FC5">
        <w:rPr>
          <w:rFonts w:asciiTheme="minorHAnsi" w:hAnsiTheme="minorHAnsi" w:cstheme="minorHAnsi"/>
          <w:b/>
          <w:i/>
          <w:sz w:val="22"/>
          <w:szCs w:val="22"/>
          <w:highlight w:val="yellow"/>
        </w:rPr>
        <w:t>, board approved</w:t>
      </w:r>
    </w:p>
    <w:p w14:paraId="5A39BBE3" w14:textId="77777777" w:rsidR="000F4F86" w:rsidRDefault="000F4F86" w:rsidP="000F4F86">
      <w:pPr>
        <w:pStyle w:val="paragraph"/>
        <w:spacing w:before="0" w:beforeAutospacing="0" w:after="0" w:afterAutospacing="0"/>
        <w:ind w:left="720" w:right="360"/>
        <w:textAlignment w:val="baseline"/>
        <w:rPr>
          <w:rFonts w:asciiTheme="minorHAnsi" w:hAnsiTheme="minorHAnsi" w:cstheme="minorHAnsi"/>
          <w:b/>
          <w:sz w:val="22"/>
          <w:szCs w:val="22"/>
        </w:rPr>
      </w:pPr>
    </w:p>
    <w:p w14:paraId="5A305C1E" w14:textId="77777777" w:rsidR="00487377" w:rsidRPr="00A448CD" w:rsidRDefault="000F4F86" w:rsidP="000F4F86">
      <w:pPr>
        <w:pStyle w:val="paragraph"/>
        <w:spacing w:before="0" w:beforeAutospacing="0" w:after="0" w:afterAutospacing="0"/>
        <w:ind w:right="360"/>
        <w:textAlignment w:val="baseline"/>
        <w:rPr>
          <w:rFonts w:asciiTheme="minorHAnsi" w:hAnsiTheme="minorHAnsi" w:cstheme="minorHAnsi"/>
          <w:b/>
          <w:i/>
          <w:sz w:val="22"/>
          <w:szCs w:val="22"/>
        </w:rPr>
      </w:pPr>
      <w:r w:rsidRPr="000F4F86">
        <w:rPr>
          <w:rFonts w:asciiTheme="minorHAnsi" w:hAnsiTheme="minorHAnsi" w:cstheme="minorHAnsi"/>
          <w:b/>
          <w:i/>
          <w:sz w:val="22"/>
          <w:szCs w:val="22"/>
        </w:rPr>
        <w:lastRenderedPageBreak/>
        <w:t>Approve changes to the reallocation/transition plan (Discuss the 20% expectation since 2016) </w:t>
      </w:r>
    </w:p>
    <w:p w14:paraId="41C8F396" w14:textId="77777777" w:rsidR="00487377" w:rsidRDefault="00487377" w:rsidP="000F4F86">
      <w:pPr>
        <w:pStyle w:val="paragraph"/>
        <w:spacing w:before="0" w:beforeAutospacing="0" w:after="0" w:afterAutospacing="0"/>
        <w:ind w:right="360"/>
        <w:textAlignment w:val="baseline"/>
        <w:rPr>
          <w:rFonts w:asciiTheme="minorHAnsi" w:hAnsiTheme="minorHAnsi" w:cstheme="minorHAnsi"/>
          <w:b/>
          <w:sz w:val="22"/>
          <w:szCs w:val="22"/>
        </w:rPr>
      </w:pPr>
    </w:p>
    <w:p w14:paraId="3DB65AC2" w14:textId="77777777" w:rsidR="00487377" w:rsidRPr="00487377" w:rsidRDefault="00487377" w:rsidP="000F4F86">
      <w:pPr>
        <w:pStyle w:val="paragraph"/>
        <w:spacing w:before="0" w:beforeAutospacing="0" w:after="0" w:afterAutospacing="0"/>
        <w:ind w:right="360"/>
        <w:textAlignment w:val="baseline"/>
        <w:rPr>
          <w:rFonts w:asciiTheme="minorHAnsi" w:hAnsiTheme="minorHAnsi" w:cstheme="minorHAnsi"/>
          <w:sz w:val="22"/>
          <w:szCs w:val="22"/>
        </w:rPr>
      </w:pPr>
      <w:r w:rsidRPr="00487377">
        <w:rPr>
          <w:rFonts w:asciiTheme="minorHAnsi" w:hAnsiTheme="minorHAnsi" w:cstheme="minorHAnsi"/>
          <w:sz w:val="22"/>
          <w:szCs w:val="22"/>
        </w:rPr>
        <w:t>Review 2021 updates to Reallocation plan &amp; updates to Involuntary Reallocation:</w:t>
      </w:r>
    </w:p>
    <w:p w14:paraId="4BB0BD1B" w14:textId="77777777" w:rsidR="00487377" w:rsidRDefault="00487377" w:rsidP="00487377">
      <w:pPr>
        <w:pStyle w:val="paragraph"/>
        <w:ind w:right="960"/>
        <w:textAlignment w:val="baseline"/>
      </w:pPr>
      <w:r>
        <w:rPr>
          <w:rStyle w:val="normaltextrun"/>
          <w:rFonts w:ascii="Calibri" w:hAnsi="Calibri" w:cs="Calibri"/>
          <w:b/>
          <w:bCs/>
        </w:rPr>
        <w:t>Continuum-Initiated (Involuntary) Reallocation</w:t>
      </w:r>
      <w:r>
        <w:rPr>
          <w:rStyle w:val="normaltextrun"/>
          <w:rFonts w:ascii="Calibri" w:hAnsi="Calibri" w:cs="Calibri"/>
          <w:i/>
          <w:iCs/>
        </w:rPr>
        <w:t xml:space="preserve">.          </w:t>
      </w:r>
      <w:proofErr w:type="gramStart"/>
      <w:r>
        <w:rPr>
          <w:rStyle w:val="normaltextrun"/>
          <w:rFonts w:ascii="Calibri" w:hAnsi="Calibri" w:cs="Calibri"/>
          <w:i/>
          <w:iCs/>
        </w:rPr>
        <w:t>new</w:t>
      </w:r>
      <w:proofErr w:type="gramEnd"/>
      <w:r>
        <w:rPr>
          <w:rStyle w:val="normaltextrun"/>
          <w:rFonts w:ascii="Calibri" w:hAnsi="Calibri" w:cs="Calibri"/>
          <w:i/>
          <w:iCs/>
        </w:rPr>
        <w:t xml:space="preserve"> 2021</w:t>
      </w:r>
      <w:r>
        <w:rPr>
          <w:rStyle w:val="eop"/>
          <w:rFonts w:ascii="Calibri" w:hAnsi="Calibri" w:cs="Calibri"/>
        </w:rPr>
        <w:t> </w:t>
      </w:r>
    </w:p>
    <w:p w14:paraId="163154B9" w14:textId="77777777" w:rsidR="00487377" w:rsidRDefault="00487377" w:rsidP="00487377">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Changes in local priorities based on HUD’s annual NOFO and other identified gaps in services and housing availability;</w:t>
      </w:r>
      <w:r>
        <w:rPr>
          <w:rStyle w:val="eop"/>
          <w:rFonts w:ascii="Calibri" w:hAnsi="Calibri" w:cs="Calibri"/>
          <w:sz w:val="22"/>
          <w:szCs w:val="22"/>
        </w:rPr>
        <w:t> </w:t>
      </w:r>
    </w:p>
    <w:p w14:paraId="36C487A7" w14:textId="77777777" w:rsidR="00487377" w:rsidRDefault="00487377" w:rsidP="00487377">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Inability to meet threshold requirements for annual expectations;</w:t>
      </w:r>
      <w:r>
        <w:rPr>
          <w:rStyle w:val="eop"/>
          <w:rFonts w:ascii="Calibri" w:hAnsi="Calibri" w:cs="Calibri"/>
          <w:sz w:val="22"/>
          <w:szCs w:val="22"/>
        </w:rPr>
        <w:t> </w:t>
      </w:r>
    </w:p>
    <w:p w14:paraId="5062C156" w14:textId="77777777" w:rsidR="00487377" w:rsidRDefault="00487377" w:rsidP="00487377">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Outstanding obligation to HUD that is in arrears or for which a payment schedule has not been agreed upon;</w:t>
      </w:r>
      <w:r>
        <w:rPr>
          <w:rStyle w:val="eop"/>
          <w:rFonts w:ascii="Calibri" w:hAnsi="Calibri" w:cs="Calibri"/>
          <w:sz w:val="22"/>
          <w:szCs w:val="22"/>
        </w:rPr>
        <w:t> </w:t>
      </w:r>
    </w:p>
    <w:p w14:paraId="6FA49C49" w14:textId="77777777" w:rsidR="00487377" w:rsidRDefault="00487377" w:rsidP="00487377">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Audit findings where response is overdue or unsatisfactory;</w:t>
      </w:r>
      <w:r>
        <w:rPr>
          <w:rStyle w:val="eop"/>
          <w:rFonts w:ascii="Calibri" w:hAnsi="Calibri" w:cs="Calibri"/>
          <w:sz w:val="22"/>
          <w:szCs w:val="22"/>
        </w:rPr>
        <w:t> </w:t>
      </w:r>
    </w:p>
    <w:p w14:paraId="4E457FE5" w14:textId="77777777" w:rsidR="00487377" w:rsidRDefault="00487377" w:rsidP="00487377">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History of inadequate financial management or accounting, including untimely billing responses;</w:t>
      </w:r>
      <w:r>
        <w:rPr>
          <w:rStyle w:val="eop"/>
          <w:rFonts w:ascii="Calibri" w:hAnsi="Calibri" w:cs="Calibri"/>
          <w:sz w:val="22"/>
          <w:szCs w:val="22"/>
        </w:rPr>
        <w:t> </w:t>
      </w:r>
    </w:p>
    <w:p w14:paraId="6F9695D0" w14:textId="77777777" w:rsidR="00487377" w:rsidRDefault="00487377" w:rsidP="00487377">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History of Underspent Funds;</w:t>
      </w:r>
      <w:r>
        <w:rPr>
          <w:rStyle w:val="eop"/>
          <w:rFonts w:ascii="Calibri" w:hAnsi="Calibri" w:cs="Calibri"/>
          <w:sz w:val="22"/>
          <w:szCs w:val="22"/>
        </w:rPr>
        <w:t> </w:t>
      </w:r>
    </w:p>
    <w:p w14:paraId="3934E609" w14:textId="77777777" w:rsidR="00487377" w:rsidRDefault="00487377" w:rsidP="00487377">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Evidence of untimely expenditures on prior award;</w:t>
      </w:r>
      <w:r>
        <w:rPr>
          <w:rStyle w:val="eop"/>
          <w:rFonts w:ascii="Calibri" w:hAnsi="Calibri" w:cs="Calibri"/>
          <w:sz w:val="22"/>
          <w:szCs w:val="22"/>
        </w:rPr>
        <w:t> </w:t>
      </w:r>
    </w:p>
    <w:p w14:paraId="244D884C" w14:textId="77777777" w:rsidR="00487377" w:rsidRDefault="00487377" w:rsidP="00487377">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 xml:space="preserve">History of not reimbursing </w:t>
      </w:r>
      <w:proofErr w:type="spellStart"/>
      <w:r>
        <w:rPr>
          <w:rStyle w:val="normaltextrun"/>
          <w:rFonts w:ascii="Calibri" w:hAnsi="Calibri" w:cs="Calibri"/>
          <w:sz w:val="22"/>
          <w:szCs w:val="22"/>
        </w:rPr>
        <w:t>subrecipients</w:t>
      </w:r>
      <w:proofErr w:type="spellEnd"/>
      <w:r>
        <w:rPr>
          <w:rStyle w:val="normaltextrun"/>
          <w:rFonts w:ascii="Calibri" w:hAnsi="Calibri" w:cs="Calibri"/>
          <w:sz w:val="22"/>
          <w:szCs w:val="22"/>
        </w:rPr>
        <w:t xml:space="preserve"> for eligible costs in a timely manner, or at least quarterly;</w:t>
      </w:r>
      <w:r>
        <w:rPr>
          <w:rStyle w:val="eop"/>
          <w:rFonts w:ascii="Calibri" w:hAnsi="Calibri" w:cs="Calibri"/>
          <w:sz w:val="22"/>
          <w:szCs w:val="22"/>
        </w:rPr>
        <w:t> </w:t>
      </w:r>
    </w:p>
    <w:p w14:paraId="0567B414" w14:textId="77777777" w:rsidR="00487377" w:rsidRDefault="00487377" w:rsidP="00487377">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 xml:space="preserve">History of other major capacity issues that have significantly affected the operation of the project and </w:t>
      </w:r>
      <w:proofErr w:type="spellStart"/>
      <w:r>
        <w:rPr>
          <w:rStyle w:val="normaltextrun"/>
          <w:rFonts w:ascii="Calibri" w:hAnsi="Calibri" w:cs="Calibri"/>
          <w:sz w:val="22"/>
          <w:szCs w:val="22"/>
        </w:rPr>
        <w:t>it’s</w:t>
      </w:r>
      <w:proofErr w:type="spellEnd"/>
      <w:r>
        <w:rPr>
          <w:rStyle w:val="normaltextrun"/>
          <w:rFonts w:ascii="Calibri" w:hAnsi="Calibri" w:cs="Calibri"/>
          <w:sz w:val="22"/>
          <w:szCs w:val="22"/>
        </w:rPr>
        <w:t xml:space="preserve"> performance;</w:t>
      </w:r>
      <w:r>
        <w:rPr>
          <w:rStyle w:val="eop"/>
          <w:rFonts w:ascii="Calibri" w:hAnsi="Calibri" w:cs="Calibri"/>
          <w:sz w:val="22"/>
          <w:szCs w:val="22"/>
        </w:rPr>
        <w:t> </w:t>
      </w:r>
    </w:p>
    <w:p w14:paraId="65B174AA" w14:textId="77777777" w:rsidR="00487377" w:rsidRDefault="00487377" w:rsidP="00487377">
      <w:pPr>
        <w:pStyle w:val="paragraph"/>
        <w:numPr>
          <w:ilvl w:val="0"/>
          <w:numId w:val="5"/>
        </w:numPr>
        <w:ind w:left="1080" w:firstLine="0"/>
        <w:textAlignment w:val="baseline"/>
        <w:rPr>
          <w:rFonts w:ascii="Calibri" w:hAnsi="Calibri" w:cs="Calibri"/>
          <w:sz w:val="22"/>
          <w:szCs w:val="22"/>
        </w:rPr>
      </w:pPr>
      <w:r>
        <w:rPr>
          <w:rStyle w:val="normaltextrun"/>
          <w:rFonts w:ascii="Calibri" w:hAnsi="Calibri" w:cs="Calibri"/>
          <w:sz w:val="22"/>
          <w:szCs w:val="22"/>
        </w:rPr>
        <w:t>History of serving ineligible program participants, expending funds on ineligible costs, or failing to expend funds within statutorily established timeframes;</w:t>
      </w:r>
      <w:r>
        <w:rPr>
          <w:rStyle w:val="eop"/>
          <w:rFonts w:ascii="Calibri" w:hAnsi="Calibri" w:cs="Calibri"/>
          <w:sz w:val="22"/>
          <w:szCs w:val="22"/>
        </w:rPr>
        <w:t> </w:t>
      </w:r>
    </w:p>
    <w:p w14:paraId="61DB12A6" w14:textId="77777777" w:rsidR="00487377" w:rsidRDefault="00487377" w:rsidP="00487377">
      <w:pPr>
        <w:pStyle w:val="paragraph"/>
        <w:numPr>
          <w:ilvl w:val="0"/>
          <w:numId w:val="5"/>
        </w:numPr>
        <w:ind w:left="1080" w:firstLine="0"/>
        <w:textAlignment w:val="baseline"/>
        <w:rPr>
          <w:rFonts w:ascii="Calibri" w:hAnsi="Calibri" w:cs="Calibri"/>
          <w:sz w:val="22"/>
          <w:szCs w:val="22"/>
        </w:rPr>
      </w:pPr>
      <w:r>
        <w:rPr>
          <w:rStyle w:val="normaltextrun"/>
          <w:rFonts w:ascii="Calibri" w:hAnsi="Calibri" w:cs="Calibri"/>
          <w:sz w:val="22"/>
          <w:szCs w:val="22"/>
        </w:rPr>
        <w:t>Serious or significant privacy or security data breeches. </w:t>
      </w:r>
      <w:r>
        <w:rPr>
          <w:rStyle w:val="eop"/>
          <w:rFonts w:ascii="Calibri" w:hAnsi="Calibri" w:cs="Calibri"/>
          <w:sz w:val="22"/>
          <w:szCs w:val="22"/>
        </w:rPr>
        <w:t> </w:t>
      </w:r>
    </w:p>
    <w:p w14:paraId="372BBC89" w14:textId="77777777" w:rsidR="00487377" w:rsidRDefault="00487377" w:rsidP="000F4F86">
      <w:pPr>
        <w:pStyle w:val="paragraph"/>
        <w:spacing w:before="0" w:beforeAutospacing="0" w:after="0" w:afterAutospacing="0"/>
        <w:ind w:right="360"/>
        <w:textAlignment w:val="baseline"/>
        <w:rPr>
          <w:rFonts w:asciiTheme="minorHAnsi" w:hAnsiTheme="minorHAnsi" w:cstheme="minorHAnsi"/>
          <w:b/>
          <w:sz w:val="22"/>
          <w:szCs w:val="22"/>
        </w:rPr>
      </w:pPr>
      <w:r w:rsidRPr="00487377">
        <w:rPr>
          <w:rFonts w:asciiTheme="minorHAnsi" w:hAnsiTheme="minorHAnsi" w:cstheme="minorHAnsi"/>
          <w:b/>
          <w:sz w:val="22"/>
          <w:szCs w:val="22"/>
          <w:highlight w:val="yellow"/>
        </w:rPr>
        <w:t>Vote on the abo</w:t>
      </w:r>
      <w:r w:rsidRPr="00AA7FC5">
        <w:rPr>
          <w:rFonts w:asciiTheme="minorHAnsi" w:hAnsiTheme="minorHAnsi" w:cstheme="minorHAnsi"/>
          <w:b/>
          <w:sz w:val="22"/>
          <w:szCs w:val="22"/>
          <w:highlight w:val="yellow"/>
        </w:rPr>
        <w:t xml:space="preserve">ve: </w:t>
      </w:r>
      <w:r w:rsidR="00FF66F2" w:rsidRPr="00AA7FC5">
        <w:rPr>
          <w:rFonts w:asciiTheme="minorHAnsi" w:hAnsiTheme="minorHAnsi" w:cstheme="minorHAnsi"/>
          <w:b/>
          <w:sz w:val="22"/>
          <w:szCs w:val="22"/>
          <w:highlight w:val="yellow"/>
        </w:rPr>
        <w:t>Moved by Brad, Seconded by Justine</w:t>
      </w:r>
      <w:r w:rsidR="00AA7FC5" w:rsidRPr="00AA7FC5">
        <w:rPr>
          <w:rFonts w:asciiTheme="minorHAnsi" w:hAnsiTheme="minorHAnsi" w:cstheme="minorHAnsi"/>
          <w:b/>
          <w:sz w:val="22"/>
          <w:szCs w:val="22"/>
          <w:highlight w:val="yellow"/>
        </w:rPr>
        <w:t>, board approved</w:t>
      </w:r>
      <w:r w:rsidR="00FF66F2" w:rsidRPr="00AA7FC5">
        <w:rPr>
          <w:rFonts w:asciiTheme="minorHAnsi" w:hAnsiTheme="minorHAnsi" w:cstheme="minorHAnsi"/>
          <w:b/>
          <w:sz w:val="22"/>
          <w:szCs w:val="22"/>
          <w:highlight w:val="yellow"/>
        </w:rPr>
        <w:t>.</w:t>
      </w:r>
    </w:p>
    <w:p w14:paraId="72A3D3EC" w14:textId="77777777" w:rsidR="00487377" w:rsidRDefault="00487377" w:rsidP="000F4F86">
      <w:pPr>
        <w:pStyle w:val="paragraph"/>
        <w:spacing w:before="0" w:beforeAutospacing="0" w:after="0" w:afterAutospacing="0"/>
        <w:ind w:right="360"/>
        <w:textAlignment w:val="baseline"/>
        <w:rPr>
          <w:rFonts w:asciiTheme="minorHAnsi" w:hAnsiTheme="minorHAnsi" w:cstheme="minorHAnsi"/>
          <w:b/>
          <w:sz w:val="22"/>
          <w:szCs w:val="22"/>
        </w:rPr>
      </w:pPr>
    </w:p>
    <w:p w14:paraId="5BE8F6E7" w14:textId="77777777" w:rsidR="000F4F86" w:rsidRDefault="00AA7FC5" w:rsidP="000F4F86">
      <w:pPr>
        <w:pStyle w:val="paragraph"/>
        <w:spacing w:before="0" w:beforeAutospacing="0" w:after="0" w:afterAutospacing="0"/>
        <w:ind w:right="360"/>
        <w:textAlignment w:val="baseline"/>
        <w:rPr>
          <w:rFonts w:asciiTheme="minorHAnsi" w:hAnsiTheme="minorHAnsi" w:cstheme="minorHAnsi"/>
          <w:b/>
          <w:sz w:val="22"/>
          <w:szCs w:val="22"/>
        </w:rPr>
      </w:pPr>
      <w:r>
        <w:rPr>
          <w:rFonts w:asciiTheme="minorHAnsi" w:hAnsiTheme="minorHAnsi" w:cstheme="minorHAnsi"/>
          <w:b/>
          <w:sz w:val="22"/>
          <w:szCs w:val="22"/>
        </w:rPr>
        <w:t>R</w:t>
      </w:r>
      <w:r w:rsidR="000F4F86" w:rsidRPr="00487377">
        <w:rPr>
          <w:rFonts w:asciiTheme="minorHAnsi" w:hAnsiTheme="minorHAnsi" w:cstheme="minorHAnsi"/>
          <w:b/>
          <w:sz w:val="22"/>
          <w:szCs w:val="22"/>
        </w:rPr>
        <w:t>anking placement of new projects</w:t>
      </w:r>
      <w:r w:rsidR="00487377">
        <w:rPr>
          <w:rFonts w:asciiTheme="minorHAnsi" w:hAnsiTheme="minorHAnsi" w:cstheme="minorHAnsi"/>
          <w:b/>
          <w:sz w:val="22"/>
          <w:szCs w:val="22"/>
        </w:rPr>
        <w:t xml:space="preserve"> to be moved within the Ranking structure vs, in tier 2 – as suggested in the NOFO</w:t>
      </w:r>
      <w:r w:rsidR="000F4F86" w:rsidRPr="00487377">
        <w:rPr>
          <w:rFonts w:asciiTheme="minorHAnsi" w:hAnsiTheme="minorHAnsi" w:cstheme="minorHAnsi"/>
          <w:b/>
          <w:sz w:val="22"/>
          <w:szCs w:val="22"/>
        </w:rPr>
        <w:t xml:space="preserve">. </w:t>
      </w:r>
    </w:p>
    <w:p w14:paraId="5C6CB269" w14:textId="77777777" w:rsidR="00FF66F2" w:rsidRPr="00A63995" w:rsidRDefault="00FF66F2" w:rsidP="000F4F86">
      <w:pPr>
        <w:pStyle w:val="paragraph"/>
        <w:spacing w:before="0" w:beforeAutospacing="0" w:after="0" w:afterAutospacing="0"/>
        <w:ind w:right="360"/>
        <w:textAlignment w:val="baseline"/>
        <w:rPr>
          <w:rFonts w:asciiTheme="minorHAnsi" w:hAnsiTheme="minorHAnsi" w:cstheme="minorHAnsi"/>
          <w:sz w:val="22"/>
          <w:szCs w:val="22"/>
        </w:rPr>
      </w:pPr>
      <w:r w:rsidRPr="00A63995">
        <w:rPr>
          <w:rFonts w:asciiTheme="minorHAnsi" w:hAnsiTheme="minorHAnsi" w:cstheme="minorHAnsi"/>
          <w:sz w:val="22"/>
          <w:szCs w:val="22"/>
        </w:rPr>
        <w:t>Q –</w:t>
      </w:r>
      <w:r w:rsidR="00A63995" w:rsidRPr="00A63995">
        <w:rPr>
          <w:rFonts w:asciiTheme="minorHAnsi" w:hAnsiTheme="minorHAnsi" w:cstheme="minorHAnsi"/>
          <w:sz w:val="22"/>
          <w:szCs w:val="22"/>
        </w:rPr>
        <w:t xml:space="preserve"> Brad-</w:t>
      </w:r>
      <w:r w:rsidRPr="00A63995">
        <w:rPr>
          <w:rFonts w:asciiTheme="minorHAnsi" w:hAnsiTheme="minorHAnsi" w:cstheme="minorHAnsi"/>
          <w:sz w:val="22"/>
          <w:szCs w:val="22"/>
        </w:rPr>
        <w:t xml:space="preserve"> historically we have taken projects that are in their first year, and putting them after HMIS/CE.  Can we make sure this is consistent with the following </w:t>
      </w:r>
      <w:proofErr w:type="gramStart"/>
      <w:r w:rsidRPr="00A63995">
        <w:rPr>
          <w:rFonts w:asciiTheme="minorHAnsi" w:hAnsiTheme="minorHAnsi" w:cstheme="minorHAnsi"/>
          <w:sz w:val="22"/>
          <w:szCs w:val="22"/>
        </w:rPr>
        <w:t>plan:</w:t>
      </w:r>
      <w:proofErr w:type="gramEnd"/>
    </w:p>
    <w:p w14:paraId="658B8357" w14:textId="77777777" w:rsidR="00FF66F2" w:rsidRPr="00A63995" w:rsidRDefault="00FF66F2" w:rsidP="000F4F86">
      <w:pPr>
        <w:pStyle w:val="paragraph"/>
        <w:spacing w:before="0" w:beforeAutospacing="0" w:after="0" w:afterAutospacing="0"/>
        <w:ind w:right="360"/>
        <w:textAlignment w:val="baseline"/>
        <w:rPr>
          <w:rFonts w:asciiTheme="minorHAnsi" w:hAnsiTheme="minorHAnsi" w:cstheme="minorHAnsi"/>
          <w:sz w:val="22"/>
          <w:szCs w:val="22"/>
        </w:rPr>
      </w:pPr>
      <w:r w:rsidRPr="6C1B570F">
        <w:rPr>
          <w:rFonts w:asciiTheme="minorHAnsi" w:hAnsiTheme="minorHAnsi" w:cstheme="minorBidi"/>
          <w:sz w:val="22"/>
          <w:szCs w:val="22"/>
        </w:rPr>
        <w:t>3 categories integrated – All projects would have their unique HMIS/CE at the top of the tier structure, after that would be any programs within the 1</w:t>
      </w:r>
      <w:r w:rsidRPr="6C1B570F">
        <w:rPr>
          <w:rFonts w:asciiTheme="minorHAnsi" w:hAnsiTheme="minorHAnsi" w:cstheme="minorBidi"/>
          <w:sz w:val="22"/>
          <w:szCs w:val="22"/>
          <w:vertAlign w:val="superscript"/>
        </w:rPr>
        <w:t>st</w:t>
      </w:r>
      <w:r w:rsidRPr="6C1B570F">
        <w:rPr>
          <w:rFonts w:asciiTheme="minorHAnsi" w:hAnsiTheme="minorHAnsi" w:cstheme="minorBidi"/>
          <w:sz w:val="22"/>
          <w:szCs w:val="22"/>
        </w:rPr>
        <w:t xml:space="preserve"> year – evaluated again next year based on NOFO.</w:t>
      </w:r>
    </w:p>
    <w:p w14:paraId="3139725E" w14:textId="6DAC0A6C" w:rsidR="25684337" w:rsidRDefault="25684337" w:rsidP="6C1B570F">
      <w:pPr>
        <w:pStyle w:val="paragraph"/>
        <w:spacing w:before="0" w:beforeAutospacing="0" w:after="0" w:afterAutospacing="0"/>
        <w:ind w:right="360"/>
      </w:pPr>
      <w:r w:rsidRPr="6C1B570F">
        <w:rPr>
          <w:rFonts w:asciiTheme="minorHAnsi" w:hAnsiTheme="minorHAnsi" w:cstheme="minorBidi"/>
          <w:sz w:val="22"/>
          <w:szCs w:val="22"/>
        </w:rPr>
        <w:t>Keleigh – yes, this is listed in the RFP as well.  We don’t have any 1</w:t>
      </w:r>
      <w:r w:rsidRPr="6C1B570F">
        <w:rPr>
          <w:rFonts w:asciiTheme="minorHAnsi" w:hAnsiTheme="minorHAnsi" w:cstheme="minorBidi"/>
          <w:sz w:val="22"/>
          <w:szCs w:val="22"/>
          <w:vertAlign w:val="superscript"/>
        </w:rPr>
        <w:t>st</w:t>
      </w:r>
      <w:r w:rsidRPr="6C1B570F">
        <w:rPr>
          <w:rFonts w:asciiTheme="minorHAnsi" w:hAnsiTheme="minorHAnsi" w:cstheme="minorBidi"/>
          <w:sz w:val="22"/>
          <w:szCs w:val="22"/>
        </w:rPr>
        <w:t xml:space="preserve"> year projects besides the </w:t>
      </w:r>
      <w:r w:rsidR="3817D441" w:rsidRPr="6C1B570F">
        <w:rPr>
          <w:rFonts w:asciiTheme="minorHAnsi" w:hAnsiTheme="minorHAnsi" w:cstheme="minorBidi"/>
          <w:sz w:val="22"/>
          <w:szCs w:val="22"/>
        </w:rPr>
        <w:t>YHDP non-competitive this year.</w:t>
      </w:r>
    </w:p>
    <w:p w14:paraId="16F00456" w14:textId="12C4766D" w:rsidR="6C1B570F" w:rsidRDefault="6C1B570F" w:rsidP="6C1B570F">
      <w:pPr>
        <w:pStyle w:val="paragraph"/>
        <w:spacing w:before="0" w:beforeAutospacing="0" w:after="0" w:afterAutospacing="0"/>
        <w:ind w:right="360"/>
      </w:pPr>
    </w:p>
    <w:p w14:paraId="10EDCE0B" w14:textId="58CED505" w:rsidR="00E9511D" w:rsidRPr="00A63995" w:rsidRDefault="00E9511D" w:rsidP="6C1B570F">
      <w:pPr>
        <w:pStyle w:val="paragraph"/>
        <w:spacing w:before="0" w:beforeAutospacing="0" w:after="0" w:afterAutospacing="0"/>
        <w:ind w:right="360"/>
        <w:textAlignment w:val="baseline"/>
        <w:rPr>
          <w:rFonts w:asciiTheme="minorHAnsi" w:hAnsiTheme="minorHAnsi" w:cstheme="minorBidi"/>
          <w:sz w:val="22"/>
          <w:szCs w:val="22"/>
        </w:rPr>
      </w:pPr>
      <w:r w:rsidRPr="6C1B570F">
        <w:rPr>
          <w:rFonts w:asciiTheme="minorHAnsi" w:hAnsiTheme="minorHAnsi" w:cstheme="minorBidi"/>
          <w:sz w:val="22"/>
          <w:szCs w:val="22"/>
        </w:rPr>
        <w:t xml:space="preserve">Q – </w:t>
      </w:r>
      <w:r w:rsidR="00A63995" w:rsidRPr="6C1B570F">
        <w:rPr>
          <w:rFonts w:asciiTheme="minorHAnsi" w:hAnsiTheme="minorHAnsi" w:cstheme="minorBidi"/>
          <w:sz w:val="22"/>
          <w:szCs w:val="22"/>
        </w:rPr>
        <w:t xml:space="preserve">Stacy - </w:t>
      </w:r>
      <w:r w:rsidRPr="6C1B570F">
        <w:rPr>
          <w:rFonts w:asciiTheme="minorHAnsi" w:hAnsiTheme="minorHAnsi" w:cstheme="minorBidi"/>
          <w:sz w:val="22"/>
          <w:szCs w:val="22"/>
        </w:rPr>
        <w:t xml:space="preserve">do we end up with new projects being placed above good renewal projects? – </w:t>
      </w:r>
    </w:p>
    <w:p w14:paraId="2DD33FA9" w14:textId="28AFB058" w:rsidR="00E9511D" w:rsidRPr="00A63995" w:rsidRDefault="00E9511D" w:rsidP="6C1B570F">
      <w:pPr>
        <w:pStyle w:val="paragraph"/>
        <w:spacing w:before="0" w:beforeAutospacing="0" w:after="0" w:afterAutospacing="0"/>
        <w:ind w:right="360"/>
        <w:textAlignment w:val="baseline"/>
        <w:rPr>
          <w:rFonts w:asciiTheme="minorHAnsi" w:hAnsiTheme="minorHAnsi" w:cstheme="minorBidi"/>
          <w:sz w:val="22"/>
          <w:szCs w:val="22"/>
        </w:rPr>
      </w:pPr>
    </w:p>
    <w:p w14:paraId="20F461C5" w14:textId="50750BED" w:rsidR="00E9511D" w:rsidRPr="00A63995" w:rsidRDefault="388E0A97" w:rsidP="6C1B570F">
      <w:pPr>
        <w:pStyle w:val="paragraph"/>
        <w:spacing w:before="0" w:beforeAutospacing="0" w:after="0" w:afterAutospacing="0"/>
        <w:ind w:right="360"/>
        <w:textAlignment w:val="baseline"/>
        <w:rPr>
          <w:rFonts w:asciiTheme="minorHAnsi" w:hAnsiTheme="minorHAnsi" w:cstheme="minorBidi"/>
          <w:sz w:val="22"/>
          <w:szCs w:val="22"/>
        </w:rPr>
      </w:pPr>
      <w:r w:rsidRPr="6C1B570F">
        <w:rPr>
          <w:rFonts w:asciiTheme="minorHAnsi" w:hAnsiTheme="minorHAnsi" w:cstheme="minorBidi"/>
          <w:sz w:val="22"/>
          <w:szCs w:val="22"/>
        </w:rPr>
        <w:t xml:space="preserve">Keleigh - </w:t>
      </w:r>
      <w:r w:rsidR="00E9511D" w:rsidRPr="6C1B570F">
        <w:rPr>
          <w:rFonts w:asciiTheme="minorHAnsi" w:hAnsiTheme="minorHAnsi" w:cstheme="minorBidi"/>
          <w:sz w:val="22"/>
          <w:szCs w:val="22"/>
        </w:rPr>
        <w:t xml:space="preserve">Yes, this can be a concern, and we need to respond to HUD’s expectations.  This year, HUD is also giving additional scores to the CoC for their competitive and accountable process – 40 points.  They are also providing points this year </w:t>
      </w:r>
      <w:r w:rsidR="00A63995" w:rsidRPr="6C1B570F">
        <w:rPr>
          <w:rFonts w:asciiTheme="minorHAnsi" w:hAnsiTheme="minorHAnsi" w:cstheme="minorBidi"/>
          <w:sz w:val="22"/>
          <w:szCs w:val="22"/>
        </w:rPr>
        <w:t>–</w:t>
      </w:r>
      <w:r w:rsidR="00E9511D" w:rsidRPr="6C1B570F">
        <w:rPr>
          <w:rFonts w:asciiTheme="minorHAnsi" w:hAnsiTheme="minorHAnsi" w:cstheme="minorBidi"/>
          <w:sz w:val="22"/>
          <w:szCs w:val="22"/>
        </w:rPr>
        <w:t xml:space="preserve"> </w:t>
      </w:r>
      <w:r w:rsidR="00A63995" w:rsidRPr="6C1B570F">
        <w:rPr>
          <w:rFonts w:asciiTheme="minorHAnsi" w:hAnsiTheme="minorHAnsi" w:cstheme="minorBidi"/>
          <w:sz w:val="22"/>
          <w:szCs w:val="22"/>
        </w:rPr>
        <w:t xml:space="preserve">reallocation points for 20% of our ARD/portfolio over time.  </w:t>
      </w:r>
      <w:r w:rsidR="640D2868" w:rsidRPr="6C1B570F">
        <w:rPr>
          <w:rFonts w:asciiTheme="minorHAnsi" w:hAnsiTheme="minorHAnsi" w:cstheme="minorBidi"/>
          <w:sz w:val="22"/>
          <w:szCs w:val="22"/>
        </w:rPr>
        <w:t>We won’t meet this likely, but if you read the NOFO, it is clear that HUD is setting high expectations for recognizing the need for change.  In order to keep the resources in these communities, we must respond effectively to these expectations while recognizing what</w:t>
      </w:r>
      <w:r w:rsidR="22B20D9A" w:rsidRPr="6C1B570F">
        <w:rPr>
          <w:rFonts w:asciiTheme="minorHAnsi" w:hAnsiTheme="minorHAnsi" w:cstheme="minorBidi"/>
          <w:sz w:val="22"/>
          <w:szCs w:val="22"/>
        </w:rPr>
        <w:t xml:space="preserve"> is demonstrated by our Funders.  </w:t>
      </w:r>
    </w:p>
    <w:p w14:paraId="5063E7EB" w14:textId="19960E2B" w:rsidR="6C1B570F" w:rsidRDefault="6C1B570F" w:rsidP="6C1B570F">
      <w:pPr>
        <w:pStyle w:val="paragraph"/>
        <w:spacing w:before="0" w:beforeAutospacing="0" w:after="0" w:afterAutospacing="0"/>
        <w:ind w:right="360"/>
      </w:pPr>
    </w:p>
    <w:p w14:paraId="59DA42B2" w14:textId="31E53E72" w:rsidR="00A63995" w:rsidRDefault="00A63995" w:rsidP="6C1B570F">
      <w:pPr>
        <w:pStyle w:val="paragraph"/>
        <w:spacing w:before="0" w:beforeAutospacing="0" w:after="0" w:afterAutospacing="0"/>
        <w:ind w:right="360"/>
        <w:textAlignment w:val="baseline"/>
        <w:rPr>
          <w:rFonts w:asciiTheme="minorHAnsi" w:hAnsiTheme="minorHAnsi" w:cstheme="minorBidi"/>
          <w:sz w:val="22"/>
          <w:szCs w:val="22"/>
        </w:rPr>
      </w:pPr>
      <w:r w:rsidRPr="6C1B570F">
        <w:rPr>
          <w:rFonts w:asciiTheme="minorHAnsi" w:hAnsiTheme="minorHAnsi" w:cstheme="minorBidi"/>
          <w:sz w:val="22"/>
          <w:szCs w:val="22"/>
        </w:rPr>
        <w:t xml:space="preserve">Q – Diana – what level of reallocation margin are we talking.  Is this about money?  Where is the flexibility?  - </w:t>
      </w:r>
    </w:p>
    <w:p w14:paraId="113D79F8" w14:textId="5297B43B" w:rsidR="00A63995" w:rsidRDefault="00A63995" w:rsidP="6C1B570F">
      <w:pPr>
        <w:pStyle w:val="paragraph"/>
        <w:spacing w:before="0" w:beforeAutospacing="0" w:after="0" w:afterAutospacing="0"/>
        <w:ind w:right="360"/>
        <w:textAlignment w:val="baseline"/>
        <w:rPr>
          <w:rFonts w:asciiTheme="minorHAnsi" w:hAnsiTheme="minorHAnsi" w:cstheme="minorBidi"/>
          <w:sz w:val="22"/>
          <w:szCs w:val="22"/>
        </w:rPr>
      </w:pPr>
      <w:r w:rsidRPr="6C1B570F">
        <w:rPr>
          <w:rFonts w:asciiTheme="minorHAnsi" w:hAnsiTheme="minorHAnsi" w:cstheme="minorBidi"/>
          <w:sz w:val="22"/>
          <w:szCs w:val="22"/>
        </w:rPr>
        <w:t>Keleigh</w:t>
      </w:r>
      <w:r w:rsidR="420819C2" w:rsidRPr="6C1B570F">
        <w:rPr>
          <w:rFonts w:asciiTheme="minorHAnsi" w:hAnsiTheme="minorHAnsi" w:cstheme="minorBidi"/>
          <w:sz w:val="22"/>
          <w:szCs w:val="22"/>
        </w:rPr>
        <w:t xml:space="preserve"> – this is </w:t>
      </w:r>
      <w:proofErr w:type="spellStart"/>
      <w:r w:rsidR="420819C2" w:rsidRPr="6C1B570F">
        <w:rPr>
          <w:rFonts w:asciiTheme="minorHAnsi" w:hAnsiTheme="minorHAnsi" w:cstheme="minorBidi"/>
          <w:sz w:val="22"/>
          <w:szCs w:val="22"/>
        </w:rPr>
        <w:t>sppecifically</w:t>
      </w:r>
      <w:proofErr w:type="spellEnd"/>
      <w:r w:rsidR="420819C2" w:rsidRPr="6C1B570F">
        <w:rPr>
          <w:rFonts w:asciiTheme="minorHAnsi" w:hAnsiTheme="minorHAnsi" w:cstheme="minorBidi"/>
          <w:sz w:val="22"/>
          <w:szCs w:val="22"/>
        </w:rPr>
        <w:t xml:space="preserve"> regarding funding.  Remember that what you see above for reallocation that would be involuntary, would need to be due to one of those circumstances. But, others could fall below the margin of tier 2 and lose their fund</w:t>
      </w:r>
      <w:r w:rsidR="2BC0A081" w:rsidRPr="6C1B570F">
        <w:rPr>
          <w:rFonts w:asciiTheme="minorHAnsi" w:hAnsiTheme="minorHAnsi" w:cstheme="minorBidi"/>
          <w:sz w:val="22"/>
          <w:szCs w:val="22"/>
        </w:rPr>
        <w:t>ing because of this.  All of this is important to consider in the COCs response.</w:t>
      </w:r>
    </w:p>
    <w:p w14:paraId="0D0B940D" w14:textId="77777777" w:rsidR="00AA7FC5" w:rsidRDefault="00AA7FC5" w:rsidP="000F4F86">
      <w:pPr>
        <w:pStyle w:val="paragraph"/>
        <w:spacing w:before="0" w:beforeAutospacing="0" w:after="0" w:afterAutospacing="0"/>
        <w:ind w:right="360"/>
        <w:textAlignment w:val="baseline"/>
        <w:rPr>
          <w:rFonts w:asciiTheme="minorHAnsi" w:hAnsiTheme="minorHAnsi" w:cstheme="minorHAnsi"/>
          <w:sz w:val="22"/>
          <w:szCs w:val="22"/>
        </w:rPr>
      </w:pPr>
    </w:p>
    <w:p w14:paraId="4070DFBE" w14:textId="77777777" w:rsidR="00A63995" w:rsidRPr="00A63995" w:rsidRDefault="00A63995" w:rsidP="000F4F86">
      <w:pPr>
        <w:pStyle w:val="paragraph"/>
        <w:spacing w:before="0" w:beforeAutospacing="0" w:after="0" w:afterAutospacing="0"/>
        <w:ind w:right="360"/>
        <w:textAlignment w:val="baseline"/>
        <w:rPr>
          <w:rFonts w:asciiTheme="minorHAnsi" w:hAnsiTheme="minorHAnsi" w:cstheme="minorHAnsi"/>
          <w:sz w:val="22"/>
          <w:szCs w:val="22"/>
        </w:rPr>
      </w:pPr>
      <w:r w:rsidRPr="00AA7FC5">
        <w:rPr>
          <w:rFonts w:asciiTheme="minorHAnsi" w:hAnsiTheme="minorHAnsi" w:cstheme="minorHAnsi"/>
          <w:sz w:val="22"/>
          <w:szCs w:val="22"/>
          <w:highlight w:val="yellow"/>
        </w:rPr>
        <w:t xml:space="preserve">Move </w:t>
      </w:r>
      <w:r w:rsidR="00AA7FC5" w:rsidRPr="00AA7FC5">
        <w:rPr>
          <w:rFonts w:asciiTheme="minorHAnsi" w:hAnsiTheme="minorHAnsi" w:cstheme="minorHAnsi"/>
          <w:sz w:val="22"/>
          <w:szCs w:val="22"/>
          <w:highlight w:val="yellow"/>
        </w:rPr>
        <w:t>to approve placement of new projects within the ranking structure (including in tier 1) versus placed automatically in tier 2</w:t>
      </w:r>
      <w:r w:rsidRPr="00AA7FC5">
        <w:rPr>
          <w:rFonts w:asciiTheme="minorHAnsi" w:hAnsiTheme="minorHAnsi" w:cstheme="minorHAnsi"/>
          <w:sz w:val="22"/>
          <w:szCs w:val="22"/>
          <w:highlight w:val="yellow"/>
        </w:rPr>
        <w:t>– Pamela, Second Mike</w:t>
      </w:r>
      <w:r w:rsidR="00AA7FC5" w:rsidRPr="00AA7FC5">
        <w:rPr>
          <w:rFonts w:asciiTheme="minorHAnsi" w:hAnsiTheme="minorHAnsi" w:cstheme="minorHAnsi"/>
          <w:sz w:val="22"/>
          <w:szCs w:val="22"/>
          <w:highlight w:val="yellow"/>
        </w:rPr>
        <w:t>, board approved.</w:t>
      </w:r>
    </w:p>
    <w:p w14:paraId="60061E4C" w14:textId="508B269A" w:rsidR="00487377" w:rsidRDefault="00487377" w:rsidP="6C1B570F">
      <w:pPr>
        <w:pStyle w:val="paragraph"/>
        <w:spacing w:before="0" w:beforeAutospacing="0" w:after="0" w:afterAutospacing="0"/>
        <w:ind w:right="360"/>
        <w:textAlignment w:val="baseline"/>
        <w:rPr>
          <w:b/>
          <w:bCs/>
        </w:rPr>
      </w:pPr>
    </w:p>
    <w:p w14:paraId="44EAFD9C" w14:textId="77777777" w:rsidR="000F4F86" w:rsidRDefault="000F4F86" w:rsidP="000F4F86">
      <w:pPr>
        <w:pStyle w:val="paragraph"/>
        <w:spacing w:before="0" w:beforeAutospacing="0" w:after="0" w:afterAutospacing="0"/>
        <w:ind w:left="720" w:right="360"/>
        <w:textAlignment w:val="baseline"/>
        <w:rPr>
          <w:rFonts w:asciiTheme="minorHAnsi" w:hAnsiTheme="minorHAnsi" w:cstheme="minorHAnsi"/>
          <w:sz w:val="22"/>
          <w:szCs w:val="22"/>
        </w:rPr>
      </w:pPr>
    </w:p>
    <w:p w14:paraId="344E7DAF" w14:textId="77777777" w:rsidR="000F4F86" w:rsidRPr="00A448CD" w:rsidRDefault="000F4F86" w:rsidP="000F4F86">
      <w:pPr>
        <w:pStyle w:val="paragraph"/>
        <w:spacing w:before="0" w:beforeAutospacing="0" w:after="0" w:afterAutospacing="0"/>
        <w:ind w:right="360"/>
        <w:textAlignment w:val="baseline"/>
        <w:rPr>
          <w:rFonts w:asciiTheme="minorHAnsi" w:hAnsiTheme="minorHAnsi" w:cstheme="minorHAnsi"/>
          <w:b/>
          <w:i/>
          <w:sz w:val="22"/>
          <w:szCs w:val="22"/>
        </w:rPr>
      </w:pPr>
      <w:r w:rsidRPr="000F4F86">
        <w:rPr>
          <w:rFonts w:asciiTheme="minorHAnsi" w:hAnsiTheme="minorHAnsi" w:cstheme="minorHAnsi"/>
          <w:b/>
          <w:i/>
          <w:sz w:val="22"/>
          <w:szCs w:val="22"/>
        </w:rPr>
        <w:t>Consider and Approve</w:t>
      </w:r>
      <w:r w:rsidR="00487377" w:rsidRPr="00A448CD">
        <w:rPr>
          <w:rFonts w:asciiTheme="minorHAnsi" w:hAnsiTheme="minorHAnsi" w:cstheme="minorHAnsi"/>
          <w:b/>
          <w:i/>
          <w:sz w:val="22"/>
          <w:szCs w:val="22"/>
        </w:rPr>
        <w:t xml:space="preserve"> updates to</w:t>
      </w:r>
      <w:r w:rsidRPr="000F4F86">
        <w:rPr>
          <w:rFonts w:asciiTheme="minorHAnsi" w:hAnsiTheme="minorHAnsi" w:cstheme="minorHAnsi"/>
          <w:b/>
          <w:i/>
          <w:sz w:val="22"/>
          <w:szCs w:val="22"/>
        </w:rPr>
        <w:t xml:space="preserve"> renewal p</w:t>
      </w:r>
      <w:r w:rsidR="00487377" w:rsidRPr="00A448CD">
        <w:rPr>
          <w:rFonts w:asciiTheme="minorHAnsi" w:hAnsiTheme="minorHAnsi" w:cstheme="minorHAnsi"/>
          <w:b/>
          <w:i/>
          <w:sz w:val="22"/>
          <w:szCs w:val="22"/>
        </w:rPr>
        <w:t>roject scoring plan &amp; renewal</w:t>
      </w:r>
      <w:r w:rsidRPr="000F4F86">
        <w:rPr>
          <w:rFonts w:asciiTheme="minorHAnsi" w:hAnsiTheme="minorHAnsi" w:cstheme="minorHAnsi"/>
          <w:b/>
          <w:i/>
          <w:sz w:val="22"/>
          <w:szCs w:val="22"/>
        </w:rPr>
        <w:t xml:space="preserve"> supplemental application </w:t>
      </w:r>
      <w:r w:rsidR="00487377" w:rsidRPr="00A448CD">
        <w:rPr>
          <w:rFonts w:asciiTheme="minorHAnsi" w:hAnsiTheme="minorHAnsi" w:cstheme="minorHAnsi"/>
          <w:b/>
          <w:i/>
          <w:sz w:val="22"/>
          <w:szCs w:val="22"/>
        </w:rPr>
        <w:t>– equity questions.</w:t>
      </w:r>
    </w:p>
    <w:p w14:paraId="4B94D5A5" w14:textId="77777777" w:rsidR="00AA7FC5" w:rsidRDefault="00AA7FC5" w:rsidP="000F4F86">
      <w:pPr>
        <w:pStyle w:val="paragraph"/>
        <w:spacing w:before="0" w:beforeAutospacing="0" w:after="0" w:afterAutospacing="0"/>
        <w:ind w:right="360"/>
        <w:textAlignment w:val="baseline"/>
        <w:rPr>
          <w:rFonts w:asciiTheme="minorHAnsi" w:hAnsiTheme="minorHAnsi" w:cstheme="minorHAnsi"/>
          <w:sz w:val="22"/>
          <w:szCs w:val="22"/>
        </w:rPr>
      </w:pPr>
    </w:p>
    <w:p w14:paraId="167348ED" w14:textId="77777777" w:rsidR="00C178F6" w:rsidRDefault="00C178F6" w:rsidP="000F4F86">
      <w:pPr>
        <w:pStyle w:val="paragraph"/>
        <w:spacing w:before="0" w:beforeAutospacing="0" w:after="0" w:afterAutospacing="0"/>
        <w:ind w:right="360"/>
        <w:textAlignment w:val="baseline"/>
        <w:rPr>
          <w:rFonts w:asciiTheme="minorHAnsi" w:hAnsiTheme="minorHAnsi" w:cstheme="minorHAnsi"/>
          <w:sz w:val="22"/>
          <w:szCs w:val="22"/>
        </w:rPr>
      </w:pPr>
      <w:r>
        <w:rPr>
          <w:rFonts w:asciiTheme="minorHAnsi" w:hAnsiTheme="minorHAnsi" w:cstheme="minorHAnsi"/>
          <w:sz w:val="22"/>
          <w:szCs w:val="22"/>
        </w:rPr>
        <w:t xml:space="preserve">Comment: Pamela, appreciative of the work that the CoC has done to get us closer to the possibility of incorporating this at this point. </w:t>
      </w:r>
    </w:p>
    <w:p w14:paraId="3DEEC669" w14:textId="77777777" w:rsidR="00487377" w:rsidRDefault="00487377" w:rsidP="000F4F86">
      <w:pPr>
        <w:pStyle w:val="paragraph"/>
        <w:spacing w:before="0" w:beforeAutospacing="0" w:after="0" w:afterAutospacing="0"/>
        <w:ind w:right="360"/>
        <w:textAlignment w:val="baseline"/>
        <w:rPr>
          <w:rFonts w:asciiTheme="minorHAnsi" w:hAnsiTheme="minorHAnsi" w:cstheme="minorHAnsi"/>
          <w:sz w:val="22"/>
          <w:szCs w:val="22"/>
        </w:rPr>
      </w:pPr>
    </w:p>
    <w:p w14:paraId="6AE07775" w14:textId="77777777" w:rsidR="00487377" w:rsidRPr="00487377" w:rsidRDefault="00487377" w:rsidP="000F4F86">
      <w:pPr>
        <w:pStyle w:val="paragraph"/>
        <w:spacing w:before="0" w:beforeAutospacing="0" w:after="0" w:afterAutospacing="0"/>
        <w:ind w:right="360"/>
        <w:textAlignment w:val="baseline"/>
        <w:rPr>
          <w:rFonts w:asciiTheme="minorHAnsi" w:hAnsiTheme="minorHAnsi" w:cstheme="minorHAnsi"/>
          <w:sz w:val="22"/>
          <w:szCs w:val="22"/>
          <w:highlight w:val="yellow"/>
        </w:rPr>
      </w:pPr>
      <w:r w:rsidRPr="00487377">
        <w:rPr>
          <w:rFonts w:asciiTheme="minorHAnsi" w:hAnsiTheme="minorHAnsi" w:cstheme="minorHAnsi"/>
          <w:sz w:val="22"/>
          <w:szCs w:val="22"/>
          <w:highlight w:val="yellow"/>
        </w:rPr>
        <w:t xml:space="preserve">Vote: approve </w:t>
      </w:r>
      <w:r w:rsidR="00C178F6">
        <w:rPr>
          <w:rFonts w:asciiTheme="minorHAnsi" w:hAnsiTheme="minorHAnsi" w:cstheme="minorHAnsi"/>
          <w:sz w:val="22"/>
          <w:szCs w:val="22"/>
          <w:highlight w:val="yellow"/>
        </w:rPr>
        <w:t xml:space="preserve">renewal </w:t>
      </w:r>
      <w:r w:rsidRPr="00487377">
        <w:rPr>
          <w:rFonts w:asciiTheme="minorHAnsi" w:hAnsiTheme="minorHAnsi" w:cstheme="minorHAnsi"/>
          <w:sz w:val="22"/>
          <w:szCs w:val="22"/>
          <w:highlight w:val="yellow"/>
        </w:rPr>
        <w:t>project scoring plan</w:t>
      </w:r>
      <w:r w:rsidR="00C178F6">
        <w:rPr>
          <w:rFonts w:asciiTheme="minorHAnsi" w:hAnsiTheme="minorHAnsi" w:cstheme="minorHAnsi"/>
          <w:sz w:val="22"/>
          <w:szCs w:val="22"/>
          <w:highlight w:val="yellow"/>
        </w:rPr>
        <w:t xml:space="preserve"> – Motion – Brad</w:t>
      </w:r>
      <w:proofErr w:type="gramStart"/>
      <w:r w:rsidR="00C178F6">
        <w:rPr>
          <w:rFonts w:asciiTheme="minorHAnsi" w:hAnsiTheme="minorHAnsi" w:cstheme="minorHAnsi"/>
          <w:sz w:val="22"/>
          <w:szCs w:val="22"/>
          <w:highlight w:val="yellow"/>
        </w:rPr>
        <w:t>,  Second</w:t>
      </w:r>
      <w:proofErr w:type="gramEnd"/>
      <w:r w:rsidR="00C178F6">
        <w:rPr>
          <w:rFonts w:asciiTheme="minorHAnsi" w:hAnsiTheme="minorHAnsi" w:cstheme="minorHAnsi"/>
          <w:sz w:val="22"/>
          <w:szCs w:val="22"/>
          <w:highlight w:val="yellow"/>
        </w:rPr>
        <w:t xml:space="preserve"> </w:t>
      </w:r>
      <w:r w:rsidR="00AA7FC5">
        <w:rPr>
          <w:rFonts w:asciiTheme="minorHAnsi" w:hAnsiTheme="minorHAnsi" w:cstheme="minorHAnsi"/>
          <w:sz w:val="22"/>
          <w:szCs w:val="22"/>
          <w:highlight w:val="yellow"/>
        </w:rPr>
        <w:t>–</w:t>
      </w:r>
      <w:r w:rsidR="00C178F6">
        <w:rPr>
          <w:rFonts w:asciiTheme="minorHAnsi" w:hAnsiTheme="minorHAnsi" w:cstheme="minorHAnsi"/>
          <w:sz w:val="22"/>
          <w:szCs w:val="22"/>
          <w:highlight w:val="yellow"/>
        </w:rPr>
        <w:t xml:space="preserve"> Kasey</w:t>
      </w:r>
      <w:r w:rsidR="00AA7FC5">
        <w:rPr>
          <w:rFonts w:asciiTheme="minorHAnsi" w:hAnsiTheme="minorHAnsi" w:cstheme="minorHAnsi"/>
          <w:sz w:val="22"/>
          <w:szCs w:val="22"/>
          <w:highlight w:val="yellow"/>
        </w:rPr>
        <w:t>, Board approved.</w:t>
      </w:r>
    </w:p>
    <w:p w14:paraId="3656B9AB" w14:textId="77777777" w:rsidR="001647E6" w:rsidRDefault="001647E6" w:rsidP="000F4F86">
      <w:pPr>
        <w:pStyle w:val="paragraph"/>
        <w:spacing w:before="0" w:beforeAutospacing="0" w:after="0" w:afterAutospacing="0"/>
        <w:ind w:right="360"/>
        <w:textAlignment w:val="baseline"/>
        <w:rPr>
          <w:rFonts w:asciiTheme="minorHAnsi" w:hAnsiTheme="minorHAnsi" w:cstheme="minorHAnsi"/>
          <w:sz w:val="22"/>
          <w:szCs w:val="22"/>
          <w:highlight w:val="yellow"/>
        </w:rPr>
      </w:pPr>
    </w:p>
    <w:p w14:paraId="1F4B921E" w14:textId="77777777" w:rsidR="001647E6" w:rsidRPr="00AA7FC5" w:rsidRDefault="001647E6" w:rsidP="000F4F86">
      <w:pPr>
        <w:pStyle w:val="paragraph"/>
        <w:spacing w:before="0" w:beforeAutospacing="0" w:after="0" w:afterAutospacing="0"/>
        <w:ind w:right="360"/>
        <w:textAlignment w:val="baseline"/>
        <w:rPr>
          <w:rFonts w:asciiTheme="minorHAnsi" w:hAnsiTheme="minorHAnsi" w:cstheme="minorHAnsi"/>
          <w:sz w:val="22"/>
          <w:szCs w:val="22"/>
        </w:rPr>
      </w:pPr>
      <w:r w:rsidRPr="00AA7FC5">
        <w:rPr>
          <w:rFonts w:asciiTheme="minorHAnsi" w:hAnsiTheme="minorHAnsi" w:cstheme="minorHAnsi"/>
          <w:sz w:val="22"/>
          <w:szCs w:val="22"/>
        </w:rPr>
        <w:t>Equity measures</w:t>
      </w:r>
    </w:p>
    <w:p w14:paraId="316BD8FF" w14:textId="77777777" w:rsidR="001647E6" w:rsidRPr="001647E6" w:rsidRDefault="001647E6" w:rsidP="000F4F86">
      <w:pPr>
        <w:pStyle w:val="paragraph"/>
        <w:spacing w:before="0" w:beforeAutospacing="0" w:after="0" w:afterAutospacing="0"/>
        <w:ind w:right="360"/>
        <w:textAlignment w:val="baseline"/>
        <w:rPr>
          <w:rFonts w:asciiTheme="minorHAnsi" w:hAnsiTheme="minorHAnsi" w:cstheme="minorHAnsi"/>
          <w:sz w:val="22"/>
          <w:szCs w:val="22"/>
        </w:rPr>
      </w:pPr>
      <w:r w:rsidRPr="001647E6">
        <w:rPr>
          <w:rFonts w:asciiTheme="minorHAnsi" w:hAnsiTheme="minorHAnsi" w:cstheme="minorHAnsi"/>
          <w:sz w:val="22"/>
          <w:szCs w:val="22"/>
        </w:rPr>
        <w:t xml:space="preserve">Q– Stacy, is it possible to give leeway to some smaller programs for the staffing expectations.  </w:t>
      </w:r>
    </w:p>
    <w:p w14:paraId="393BBDEA" w14:textId="77777777" w:rsidR="001647E6" w:rsidRPr="001647E6" w:rsidRDefault="001647E6" w:rsidP="000F4F86">
      <w:pPr>
        <w:pStyle w:val="paragraph"/>
        <w:spacing w:before="0" w:beforeAutospacing="0" w:after="0" w:afterAutospacing="0"/>
        <w:ind w:right="360"/>
        <w:textAlignment w:val="baseline"/>
        <w:rPr>
          <w:rFonts w:asciiTheme="minorHAnsi" w:hAnsiTheme="minorHAnsi" w:cstheme="minorHAnsi"/>
          <w:sz w:val="22"/>
          <w:szCs w:val="22"/>
        </w:rPr>
      </w:pPr>
      <w:r w:rsidRPr="001647E6">
        <w:rPr>
          <w:rFonts w:asciiTheme="minorHAnsi" w:hAnsiTheme="minorHAnsi" w:cstheme="minorHAnsi"/>
          <w:sz w:val="22"/>
          <w:szCs w:val="22"/>
        </w:rPr>
        <w:t>A -Brad, suggested that we make sure this is a consideration in ranking in this area.</w:t>
      </w:r>
    </w:p>
    <w:p w14:paraId="347B7B06" w14:textId="77777777" w:rsidR="001647E6" w:rsidRDefault="001647E6" w:rsidP="000F4F86">
      <w:pPr>
        <w:pStyle w:val="paragraph"/>
        <w:spacing w:before="0" w:beforeAutospacing="0" w:after="0" w:afterAutospacing="0"/>
        <w:ind w:right="360"/>
        <w:textAlignment w:val="baseline"/>
        <w:rPr>
          <w:rFonts w:asciiTheme="minorHAnsi" w:hAnsiTheme="minorHAnsi" w:cstheme="minorHAnsi"/>
          <w:sz w:val="22"/>
          <w:szCs w:val="22"/>
        </w:rPr>
      </w:pPr>
      <w:r w:rsidRPr="001647E6">
        <w:rPr>
          <w:rFonts w:asciiTheme="minorHAnsi" w:hAnsiTheme="minorHAnsi" w:cstheme="minorHAnsi"/>
          <w:sz w:val="22"/>
          <w:szCs w:val="22"/>
        </w:rPr>
        <w:t xml:space="preserve">Q - Diana, but then does that lower their expectations for recruitment in the future?  </w:t>
      </w:r>
      <w:r>
        <w:rPr>
          <w:rFonts w:asciiTheme="minorHAnsi" w:hAnsiTheme="minorHAnsi" w:cstheme="minorHAnsi"/>
          <w:sz w:val="22"/>
          <w:szCs w:val="22"/>
        </w:rPr>
        <w:t>Should be an “and, both”.</w:t>
      </w:r>
    </w:p>
    <w:p w14:paraId="6B74A30F" w14:textId="24E3FA94" w:rsidR="001647E6" w:rsidRPr="001647E6" w:rsidRDefault="001647E6" w:rsidP="6C1B570F">
      <w:pPr>
        <w:pStyle w:val="paragraph"/>
        <w:spacing w:before="0" w:beforeAutospacing="0" w:after="0" w:afterAutospacing="0"/>
        <w:ind w:right="360"/>
        <w:textAlignment w:val="baseline"/>
        <w:rPr>
          <w:rFonts w:asciiTheme="minorHAnsi" w:hAnsiTheme="minorHAnsi" w:cstheme="minorBidi"/>
          <w:sz w:val="22"/>
          <w:szCs w:val="22"/>
        </w:rPr>
      </w:pPr>
      <w:r w:rsidRPr="6C1B570F">
        <w:rPr>
          <w:rFonts w:asciiTheme="minorHAnsi" w:hAnsiTheme="minorHAnsi" w:cstheme="minorBidi"/>
          <w:sz w:val="22"/>
          <w:szCs w:val="22"/>
        </w:rPr>
        <w:t xml:space="preserve">A – </w:t>
      </w:r>
      <w:proofErr w:type="gramStart"/>
      <w:r w:rsidRPr="6C1B570F">
        <w:rPr>
          <w:rFonts w:asciiTheme="minorHAnsi" w:hAnsiTheme="minorHAnsi" w:cstheme="minorBidi"/>
          <w:sz w:val="22"/>
          <w:szCs w:val="22"/>
        </w:rPr>
        <w:t>the</w:t>
      </w:r>
      <w:proofErr w:type="gramEnd"/>
      <w:r w:rsidRPr="6C1B570F">
        <w:rPr>
          <w:rFonts w:asciiTheme="minorHAnsi" w:hAnsiTheme="minorHAnsi" w:cstheme="minorBidi"/>
          <w:sz w:val="22"/>
          <w:szCs w:val="22"/>
        </w:rPr>
        <w:t xml:space="preserve"> programs are not comparing “apples to apples”, large programs versus small can be hard – and some projects size means that they are going to </w:t>
      </w:r>
      <w:r w:rsidR="0683F0C3" w:rsidRPr="6C1B570F">
        <w:rPr>
          <w:rFonts w:asciiTheme="minorHAnsi" w:hAnsiTheme="minorHAnsi" w:cstheme="minorBidi"/>
          <w:sz w:val="22"/>
          <w:szCs w:val="22"/>
        </w:rPr>
        <w:t xml:space="preserve">score better in one area versus </w:t>
      </w:r>
      <w:proofErr w:type="spellStart"/>
      <w:r w:rsidR="0683F0C3" w:rsidRPr="6C1B570F">
        <w:rPr>
          <w:rFonts w:asciiTheme="minorHAnsi" w:hAnsiTheme="minorHAnsi" w:cstheme="minorBidi"/>
          <w:sz w:val="22"/>
          <w:szCs w:val="22"/>
        </w:rPr>
        <w:t>another..</w:t>
      </w:r>
      <w:proofErr w:type="gramStart"/>
      <w:r w:rsidR="0683F0C3" w:rsidRPr="6C1B570F">
        <w:rPr>
          <w:rFonts w:asciiTheme="minorHAnsi" w:hAnsiTheme="minorHAnsi" w:cstheme="minorBidi"/>
          <w:sz w:val="22"/>
          <w:szCs w:val="22"/>
        </w:rPr>
        <w:t>the</w:t>
      </w:r>
      <w:proofErr w:type="spellEnd"/>
      <w:proofErr w:type="gramEnd"/>
      <w:r w:rsidR="0683F0C3" w:rsidRPr="6C1B570F">
        <w:rPr>
          <w:rFonts w:asciiTheme="minorHAnsi" w:hAnsiTheme="minorHAnsi" w:cstheme="minorBidi"/>
          <w:sz w:val="22"/>
          <w:szCs w:val="22"/>
        </w:rPr>
        <w:t xml:space="preserve"> hope is that it will even out some.</w:t>
      </w:r>
    </w:p>
    <w:p w14:paraId="45FB0818" w14:textId="77777777" w:rsidR="001647E6" w:rsidRDefault="001647E6" w:rsidP="000F4F86">
      <w:pPr>
        <w:pStyle w:val="paragraph"/>
        <w:spacing w:before="0" w:beforeAutospacing="0" w:after="0" w:afterAutospacing="0"/>
        <w:ind w:right="360"/>
        <w:textAlignment w:val="baseline"/>
        <w:rPr>
          <w:rFonts w:asciiTheme="minorHAnsi" w:hAnsiTheme="minorHAnsi" w:cstheme="minorHAnsi"/>
          <w:sz w:val="22"/>
          <w:szCs w:val="22"/>
          <w:highlight w:val="yellow"/>
        </w:rPr>
      </w:pPr>
    </w:p>
    <w:p w14:paraId="01071991" w14:textId="77777777" w:rsidR="00487377" w:rsidRPr="000F4F86" w:rsidRDefault="00487377" w:rsidP="000F4F86">
      <w:pPr>
        <w:pStyle w:val="paragraph"/>
        <w:spacing w:before="0" w:beforeAutospacing="0" w:after="0" w:afterAutospacing="0"/>
        <w:ind w:right="360"/>
        <w:textAlignment w:val="baseline"/>
        <w:rPr>
          <w:rFonts w:asciiTheme="minorHAnsi" w:hAnsiTheme="minorHAnsi" w:cstheme="minorHAnsi"/>
          <w:b/>
          <w:bCs/>
          <w:color w:val="000000"/>
          <w:sz w:val="22"/>
          <w:szCs w:val="22"/>
        </w:rPr>
      </w:pPr>
      <w:r w:rsidRPr="00487377">
        <w:rPr>
          <w:rFonts w:asciiTheme="minorHAnsi" w:hAnsiTheme="minorHAnsi" w:cstheme="minorHAnsi"/>
          <w:sz w:val="22"/>
          <w:szCs w:val="22"/>
          <w:highlight w:val="yellow"/>
        </w:rPr>
        <w:t xml:space="preserve">Vote: approve renewal supplemental </w:t>
      </w:r>
      <w:r w:rsidRPr="00AA7FC5">
        <w:rPr>
          <w:rFonts w:asciiTheme="minorHAnsi" w:hAnsiTheme="minorHAnsi" w:cstheme="minorHAnsi"/>
          <w:sz w:val="22"/>
          <w:szCs w:val="22"/>
          <w:highlight w:val="yellow"/>
        </w:rPr>
        <w:t>application</w:t>
      </w:r>
      <w:r w:rsidR="001647E6" w:rsidRPr="00AA7FC5">
        <w:rPr>
          <w:rFonts w:asciiTheme="minorHAnsi" w:hAnsiTheme="minorHAnsi" w:cstheme="minorHAnsi"/>
          <w:sz w:val="22"/>
          <w:szCs w:val="22"/>
          <w:highlight w:val="yellow"/>
        </w:rPr>
        <w:t xml:space="preserve"> –</w:t>
      </w:r>
      <w:r w:rsidR="00C178F6" w:rsidRPr="00AA7FC5">
        <w:rPr>
          <w:rFonts w:asciiTheme="minorHAnsi" w:hAnsiTheme="minorHAnsi" w:cstheme="minorHAnsi"/>
          <w:sz w:val="22"/>
          <w:szCs w:val="22"/>
          <w:highlight w:val="yellow"/>
        </w:rPr>
        <w:t xml:space="preserve"> </w:t>
      </w:r>
      <w:r w:rsidR="001647E6" w:rsidRPr="00AA7FC5">
        <w:rPr>
          <w:rFonts w:asciiTheme="minorHAnsi" w:hAnsiTheme="minorHAnsi" w:cstheme="minorHAnsi"/>
          <w:sz w:val="22"/>
          <w:szCs w:val="22"/>
          <w:highlight w:val="yellow"/>
        </w:rPr>
        <w:t>Pamela – motion, Diana – second</w:t>
      </w:r>
      <w:r w:rsidR="00AA7FC5">
        <w:rPr>
          <w:rFonts w:asciiTheme="minorHAnsi" w:hAnsiTheme="minorHAnsi" w:cstheme="minorHAnsi"/>
          <w:sz w:val="22"/>
          <w:szCs w:val="22"/>
          <w:highlight w:val="yellow"/>
        </w:rPr>
        <w:t>, board approved</w:t>
      </w:r>
      <w:r w:rsidR="001647E6" w:rsidRPr="00AA7FC5">
        <w:rPr>
          <w:rFonts w:asciiTheme="minorHAnsi" w:hAnsiTheme="minorHAnsi" w:cstheme="minorHAnsi"/>
          <w:sz w:val="22"/>
          <w:szCs w:val="22"/>
          <w:highlight w:val="yellow"/>
        </w:rPr>
        <w:t>.</w:t>
      </w:r>
      <w:r w:rsidR="001647E6">
        <w:rPr>
          <w:rFonts w:asciiTheme="minorHAnsi" w:hAnsiTheme="minorHAnsi" w:cstheme="minorHAnsi"/>
          <w:sz w:val="22"/>
          <w:szCs w:val="22"/>
        </w:rPr>
        <w:t xml:space="preserve"> </w:t>
      </w:r>
    </w:p>
    <w:p w14:paraId="240DC6DD" w14:textId="77777777" w:rsidR="000F4F86" w:rsidRPr="00A448CD" w:rsidRDefault="000F4F86" w:rsidP="000F4F86">
      <w:pPr>
        <w:spacing w:before="100" w:beforeAutospacing="1" w:after="100" w:afterAutospacing="1" w:line="240" w:lineRule="auto"/>
        <w:rPr>
          <w:rFonts w:eastAsia="Times New Roman" w:cstheme="minorHAnsi"/>
          <w:b/>
          <w:i/>
        </w:rPr>
      </w:pPr>
      <w:r w:rsidRPr="000F4F86">
        <w:rPr>
          <w:rFonts w:eastAsia="Times New Roman" w:cstheme="minorHAnsi"/>
          <w:b/>
          <w:i/>
        </w:rPr>
        <w:t>Consider and Ap</w:t>
      </w:r>
      <w:r w:rsidR="00487377" w:rsidRPr="00A448CD">
        <w:rPr>
          <w:rFonts w:eastAsia="Times New Roman" w:cstheme="minorHAnsi"/>
          <w:b/>
          <w:i/>
        </w:rPr>
        <w:t xml:space="preserve">prove new project scoring plan &amp; </w:t>
      </w:r>
      <w:r w:rsidRPr="000F4F86">
        <w:rPr>
          <w:rFonts w:eastAsia="Times New Roman" w:cstheme="minorHAnsi"/>
          <w:b/>
          <w:i/>
        </w:rPr>
        <w:t>supplemental application</w:t>
      </w:r>
    </w:p>
    <w:p w14:paraId="73524093" w14:textId="77777777" w:rsidR="00AA7FC5" w:rsidRPr="00AA7FC5" w:rsidRDefault="00487377" w:rsidP="00487377">
      <w:pPr>
        <w:pStyle w:val="paragraph"/>
        <w:spacing w:before="0" w:beforeAutospacing="0" w:after="0" w:afterAutospacing="0"/>
        <w:ind w:right="360"/>
        <w:textAlignment w:val="baseline"/>
        <w:rPr>
          <w:rFonts w:asciiTheme="minorHAnsi" w:hAnsiTheme="minorHAnsi" w:cstheme="minorHAnsi"/>
          <w:sz w:val="22"/>
          <w:szCs w:val="22"/>
        </w:rPr>
      </w:pPr>
      <w:r w:rsidRPr="00AA7FC5">
        <w:rPr>
          <w:rFonts w:asciiTheme="minorHAnsi" w:hAnsiTheme="minorHAnsi" w:cstheme="minorHAnsi"/>
          <w:sz w:val="22"/>
          <w:szCs w:val="22"/>
        </w:rPr>
        <w:t>Vote: approve project scoring plan</w:t>
      </w:r>
    </w:p>
    <w:p w14:paraId="2EAA2F1E" w14:textId="77777777" w:rsidR="00AA7FC5" w:rsidRDefault="00487377" w:rsidP="00487377">
      <w:pPr>
        <w:pStyle w:val="paragraph"/>
        <w:spacing w:before="0" w:beforeAutospacing="0" w:after="0" w:afterAutospacing="0"/>
        <w:ind w:right="360"/>
        <w:textAlignment w:val="baseline"/>
        <w:rPr>
          <w:rFonts w:asciiTheme="minorHAnsi" w:hAnsiTheme="minorHAnsi" w:cstheme="minorHAnsi"/>
          <w:sz w:val="22"/>
          <w:szCs w:val="22"/>
        </w:rPr>
      </w:pPr>
      <w:r w:rsidRPr="00AA7FC5">
        <w:rPr>
          <w:rFonts w:asciiTheme="minorHAnsi" w:hAnsiTheme="minorHAnsi" w:cstheme="minorHAnsi"/>
          <w:sz w:val="22"/>
          <w:szCs w:val="22"/>
        </w:rPr>
        <w:t xml:space="preserve">Vote: </w:t>
      </w:r>
      <w:r w:rsidR="00AA7FC5" w:rsidRPr="00AA7FC5">
        <w:rPr>
          <w:rFonts w:asciiTheme="minorHAnsi" w:hAnsiTheme="minorHAnsi" w:cstheme="minorHAnsi"/>
          <w:sz w:val="22"/>
          <w:szCs w:val="22"/>
        </w:rPr>
        <w:t>approve new</w:t>
      </w:r>
      <w:r w:rsidRPr="00AA7FC5">
        <w:rPr>
          <w:rFonts w:asciiTheme="minorHAnsi" w:hAnsiTheme="minorHAnsi" w:cstheme="minorHAnsi"/>
          <w:sz w:val="22"/>
          <w:szCs w:val="22"/>
        </w:rPr>
        <w:t xml:space="preserve"> supplemental application</w:t>
      </w:r>
    </w:p>
    <w:p w14:paraId="58978B84" w14:textId="77777777" w:rsidR="00AA7FC5" w:rsidRDefault="00AA7FC5" w:rsidP="00487377">
      <w:pPr>
        <w:pStyle w:val="paragraph"/>
        <w:spacing w:before="0" w:beforeAutospacing="0" w:after="0" w:afterAutospacing="0"/>
        <w:ind w:right="360"/>
        <w:textAlignment w:val="baseline"/>
        <w:rPr>
          <w:rFonts w:asciiTheme="minorHAnsi" w:hAnsiTheme="minorHAnsi" w:cstheme="minorHAnsi"/>
          <w:sz w:val="22"/>
          <w:szCs w:val="22"/>
        </w:rPr>
      </w:pPr>
      <w:r w:rsidRPr="00AA7FC5">
        <w:rPr>
          <w:rFonts w:asciiTheme="minorHAnsi" w:hAnsiTheme="minorHAnsi" w:cstheme="minorHAnsi"/>
          <w:sz w:val="22"/>
          <w:szCs w:val="22"/>
          <w:highlight w:val="yellow"/>
        </w:rPr>
        <w:t>Motion to approve both scoring plan and new application – Kasey – motion, Pamela- seconded.</w:t>
      </w:r>
      <w:r>
        <w:rPr>
          <w:rFonts w:asciiTheme="minorHAnsi" w:hAnsiTheme="minorHAnsi" w:cstheme="minorHAnsi"/>
          <w:sz w:val="22"/>
          <w:szCs w:val="22"/>
        </w:rPr>
        <w:t xml:space="preserve"> </w:t>
      </w:r>
    </w:p>
    <w:p w14:paraId="41C68596" w14:textId="77777777" w:rsidR="000F4F86" w:rsidRPr="00A448CD" w:rsidRDefault="000F4F86" w:rsidP="000F4F86">
      <w:pPr>
        <w:spacing w:before="100" w:beforeAutospacing="1" w:after="100" w:afterAutospacing="1" w:line="240" w:lineRule="auto"/>
        <w:rPr>
          <w:rFonts w:eastAsia="Times New Roman" w:cstheme="minorHAnsi"/>
          <w:b/>
          <w:i/>
        </w:rPr>
      </w:pPr>
      <w:r w:rsidRPr="000F4F86">
        <w:rPr>
          <w:rFonts w:eastAsia="Times New Roman" w:cstheme="minorHAnsi"/>
          <w:b/>
          <w:i/>
        </w:rPr>
        <w:t xml:space="preserve">Discuss next steps in the process </w:t>
      </w:r>
    </w:p>
    <w:p w14:paraId="0F9BB7B9" w14:textId="1EBC4375" w:rsidR="00487377" w:rsidRDefault="00487377" w:rsidP="6C1B570F">
      <w:pPr>
        <w:spacing w:before="100" w:beforeAutospacing="1" w:after="100" w:afterAutospacing="1" w:line="240" w:lineRule="auto"/>
        <w:rPr>
          <w:rFonts w:eastAsia="Times New Roman"/>
        </w:rPr>
      </w:pPr>
      <w:r w:rsidRPr="6C1B570F">
        <w:rPr>
          <w:rFonts w:eastAsia="Times New Roman"/>
        </w:rPr>
        <w:t xml:space="preserve">Suggestions for ranking &amp; </w:t>
      </w:r>
      <w:proofErr w:type="spellStart"/>
      <w:r w:rsidRPr="6C1B570F">
        <w:rPr>
          <w:rFonts w:eastAsia="Times New Roman"/>
        </w:rPr>
        <w:t>eval</w:t>
      </w:r>
      <w:proofErr w:type="spellEnd"/>
      <w:r w:rsidRPr="6C1B570F">
        <w:rPr>
          <w:rFonts w:eastAsia="Times New Roman"/>
        </w:rPr>
        <w:t xml:space="preserve"> committee members</w:t>
      </w:r>
      <w:r w:rsidR="00AA7FC5" w:rsidRPr="6C1B570F">
        <w:rPr>
          <w:rFonts w:eastAsia="Times New Roman"/>
        </w:rPr>
        <w:t xml:space="preserve"> – make suggestions of committee members who will participate</w:t>
      </w:r>
      <w:r w:rsidR="0CEA8727" w:rsidRPr="6C1B570F">
        <w:rPr>
          <w:rFonts w:eastAsia="Times New Roman"/>
        </w:rPr>
        <w:t xml:space="preserve"> in</w:t>
      </w:r>
      <w:r w:rsidR="00AA7FC5" w:rsidRPr="6C1B570F">
        <w:rPr>
          <w:rFonts w:eastAsia="Times New Roman"/>
        </w:rPr>
        <w:t xml:space="preserve"> two meetings between October 15</w:t>
      </w:r>
      <w:r w:rsidR="00AA7FC5" w:rsidRPr="6C1B570F">
        <w:rPr>
          <w:rFonts w:eastAsia="Times New Roman"/>
          <w:vertAlign w:val="superscript"/>
        </w:rPr>
        <w:t>th</w:t>
      </w:r>
      <w:r w:rsidR="00AA7FC5" w:rsidRPr="6C1B570F">
        <w:rPr>
          <w:rFonts w:eastAsia="Times New Roman"/>
        </w:rPr>
        <w:t xml:space="preserve"> and 25</w:t>
      </w:r>
      <w:r w:rsidR="00AA7FC5" w:rsidRPr="6C1B570F">
        <w:rPr>
          <w:rFonts w:eastAsia="Times New Roman"/>
          <w:vertAlign w:val="superscript"/>
        </w:rPr>
        <w:t>th</w:t>
      </w:r>
      <w:r w:rsidR="00AA7FC5" w:rsidRPr="6C1B570F">
        <w:rPr>
          <w:rFonts w:eastAsia="Times New Roman"/>
        </w:rPr>
        <w:t xml:space="preserve"> </w:t>
      </w:r>
      <w:proofErr w:type="spellStart"/>
      <w:r w:rsidR="00AA7FC5" w:rsidRPr="6C1B570F">
        <w:rPr>
          <w:rFonts w:eastAsia="Times New Roman"/>
        </w:rPr>
        <w:t>ish</w:t>
      </w:r>
      <w:proofErr w:type="spellEnd"/>
      <w:r w:rsidR="00AA7FC5" w:rsidRPr="6C1B570F">
        <w:rPr>
          <w:rFonts w:eastAsia="Times New Roman"/>
        </w:rPr>
        <w:t xml:space="preserve">, to score the new projects, score the equity pieces for the current/renewal projects, and to make recommendations to the board for any reallocation measures. </w:t>
      </w:r>
    </w:p>
    <w:p w14:paraId="049F31CB" w14:textId="77777777" w:rsidR="001A0F98" w:rsidRPr="000F4F86" w:rsidRDefault="001A0F98">
      <w:pPr>
        <w:rPr>
          <w:rFonts w:cstheme="minorHAnsi"/>
        </w:rPr>
      </w:pPr>
    </w:p>
    <w:sectPr w:rsidR="001A0F98" w:rsidRPr="000F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608"/>
    <w:multiLevelType w:val="hybridMultilevel"/>
    <w:tmpl w:val="81EA4EDA"/>
    <w:lvl w:ilvl="0" w:tplc="29143D8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4716E"/>
    <w:multiLevelType w:val="multilevel"/>
    <w:tmpl w:val="A67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30459"/>
    <w:multiLevelType w:val="multilevel"/>
    <w:tmpl w:val="16A0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C0F64"/>
    <w:multiLevelType w:val="multilevel"/>
    <w:tmpl w:val="67B0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031910"/>
    <w:multiLevelType w:val="multilevel"/>
    <w:tmpl w:val="5E30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86"/>
    <w:rsid w:val="0000DEC0"/>
    <w:rsid w:val="000F4F86"/>
    <w:rsid w:val="001647E6"/>
    <w:rsid w:val="001A0F98"/>
    <w:rsid w:val="00202018"/>
    <w:rsid w:val="00487377"/>
    <w:rsid w:val="005D6771"/>
    <w:rsid w:val="00955CE7"/>
    <w:rsid w:val="00A448CD"/>
    <w:rsid w:val="00A63995"/>
    <w:rsid w:val="00AA7FC5"/>
    <w:rsid w:val="00C178F6"/>
    <w:rsid w:val="00E9511D"/>
    <w:rsid w:val="00FF66F2"/>
    <w:rsid w:val="0683F0C3"/>
    <w:rsid w:val="0CEA8727"/>
    <w:rsid w:val="13C6705E"/>
    <w:rsid w:val="18BEF278"/>
    <w:rsid w:val="1AE88384"/>
    <w:rsid w:val="2049CC3C"/>
    <w:rsid w:val="22B20D9A"/>
    <w:rsid w:val="25684337"/>
    <w:rsid w:val="2BC0A081"/>
    <w:rsid w:val="3817D441"/>
    <w:rsid w:val="388E0A97"/>
    <w:rsid w:val="3FC11DE4"/>
    <w:rsid w:val="420819C2"/>
    <w:rsid w:val="5316CFF6"/>
    <w:rsid w:val="564E70B8"/>
    <w:rsid w:val="57EA4119"/>
    <w:rsid w:val="5986117A"/>
    <w:rsid w:val="640D2868"/>
    <w:rsid w:val="6774EE06"/>
    <w:rsid w:val="6A8FF837"/>
    <w:rsid w:val="6C1B570F"/>
    <w:rsid w:val="741DB220"/>
    <w:rsid w:val="792EC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E39B"/>
  <w15:chartTrackingRefBased/>
  <w15:docId w15:val="{37D629B2-0A45-44F2-B5FB-C38A45D8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4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4F86"/>
  </w:style>
  <w:style w:type="character" w:customStyle="1" w:styleId="eop">
    <w:name w:val="eop"/>
    <w:basedOn w:val="DefaultParagraphFont"/>
    <w:rsid w:val="000F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20">
      <w:bodyDiv w:val="1"/>
      <w:marLeft w:val="0"/>
      <w:marRight w:val="0"/>
      <w:marTop w:val="0"/>
      <w:marBottom w:val="0"/>
      <w:divBdr>
        <w:top w:val="none" w:sz="0" w:space="0" w:color="auto"/>
        <w:left w:val="none" w:sz="0" w:space="0" w:color="auto"/>
        <w:bottom w:val="none" w:sz="0" w:space="0" w:color="auto"/>
        <w:right w:val="none" w:sz="0" w:space="0" w:color="auto"/>
      </w:divBdr>
    </w:div>
    <w:div w:id="237374409">
      <w:bodyDiv w:val="1"/>
      <w:marLeft w:val="0"/>
      <w:marRight w:val="0"/>
      <w:marTop w:val="0"/>
      <w:marBottom w:val="0"/>
      <w:divBdr>
        <w:top w:val="none" w:sz="0" w:space="0" w:color="auto"/>
        <w:left w:val="none" w:sz="0" w:space="0" w:color="auto"/>
        <w:bottom w:val="none" w:sz="0" w:space="0" w:color="auto"/>
        <w:right w:val="none" w:sz="0" w:space="0" w:color="auto"/>
      </w:divBdr>
      <w:divsChild>
        <w:div w:id="1053164829">
          <w:marLeft w:val="0"/>
          <w:marRight w:val="0"/>
          <w:marTop w:val="0"/>
          <w:marBottom w:val="0"/>
          <w:divBdr>
            <w:top w:val="none" w:sz="0" w:space="0" w:color="auto"/>
            <w:left w:val="none" w:sz="0" w:space="0" w:color="auto"/>
            <w:bottom w:val="none" w:sz="0" w:space="0" w:color="auto"/>
            <w:right w:val="none" w:sz="0" w:space="0" w:color="auto"/>
          </w:divBdr>
        </w:div>
        <w:div w:id="1058823563">
          <w:marLeft w:val="0"/>
          <w:marRight w:val="0"/>
          <w:marTop w:val="0"/>
          <w:marBottom w:val="0"/>
          <w:divBdr>
            <w:top w:val="none" w:sz="0" w:space="0" w:color="auto"/>
            <w:left w:val="none" w:sz="0" w:space="0" w:color="auto"/>
            <w:bottom w:val="none" w:sz="0" w:space="0" w:color="auto"/>
            <w:right w:val="none" w:sz="0" w:space="0" w:color="auto"/>
          </w:divBdr>
        </w:div>
        <w:div w:id="1218475867">
          <w:marLeft w:val="0"/>
          <w:marRight w:val="0"/>
          <w:marTop w:val="0"/>
          <w:marBottom w:val="0"/>
          <w:divBdr>
            <w:top w:val="none" w:sz="0" w:space="0" w:color="auto"/>
            <w:left w:val="none" w:sz="0" w:space="0" w:color="auto"/>
            <w:bottom w:val="none" w:sz="0" w:space="0" w:color="auto"/>
            <w:right w:val="none" w:sz="0" w:space="0" w:color="auto"/>
          </w:divBdr>
        </w:div>
      </w:divsChild>
    </w:div>
    <w:div w:id="1536892638">
      <w:bodyDiv w:val="1"/>
      <w:marLeft w:val="0"/>
      <w:marRight w:val="0"/>
      <w:marTop w:val="0"/>
      <w:marBottom w:val="0"/>
      <w:divBdr>
        <w:top w:val="none" w:sz="0" w:space="0" w:color="auto"/>
        <w:left w:val="none" w:sz="0" w:space="0" w:color="auto"/>
        <w:bottom w:val="none" w:sz="0" w:space="0" w:color="auto"/>
        <w:right w:val="none" w:sz="0" w:space="0" w:color="auto"/>
      </w:divBdr>
      <w:divsChild>
        <w:div w:id="2146851366">
          <w:marLeft w:val="0"/>
          <w:marRight w:val="0"/>
          <w:marTop w:val="0"/>
          <w:marBottom w:val="0"/>
          <w:divBdr>
            <w:top w:val="none" w:sz="0" w:space="0" w:color="auto"/>
            <w:left w:val="none" w:sz="0" w:space="0" w:color="auto"/>
            <w:bottom w:val="none" w:sz="0" w:space="0" w:color="auto"/>
            <w:right w:val="none" w:sz="0" w:space="0" w:color="auto"/>
          </w:divBdr>
        </w:div>
        <w:div w:id="1359625330">
          <w:marLeft w:val="0"/>
          <w:marRight w:val="0"/>
          <w:marTop w:val="0"/>
          <w:marBottom w:val="0"/>
          <w:divBdr>
            <w:top w:val="none" w:sz="0" w:space="0" w:color="auto"/>
            <w:left w:val="none" w:sz="0" w:space="0" w:color="auto"/>
            <w:bottom w:val="none" w:sz="0" w:space="0" w:color="auto"/>
            <w:right w:val="none" w:sz="0" w:space="0" w:color="auto"/>
          </w:divBdr>
          <w:divsChild>
            <w:div w:id="188302174">
              <w:marLeft w:val="0"/>
              <w:marRight w:val="0"/>
              <w:marTop w:val="0"/>
              <w:marBottom w:val="0"/>
              <w:divBdr>
                <w:top w:val="none" w:sz="0" w:space="0" w:color="auto"/>
                <w:left w:val="none" w:sz="0" w:space="0" w:color="auto"/>
                <w:bottom w:val="none" w:sz="0" w:space="0" w:color="auto"/>
                <w:right w:val="none" w:sz="0" w:space="0" w:color="auto"/>
              </w:divBdr>
            </w:div>
            <w:div w:id="2108381022">
              <w:marLeft w:val="0"/>
              <w:marRight w:val="0"/>
              <w:marTop w:val="0"/>
              <w:marBottom w:val="0"/>
              <w:divBdr>
                <w:top w:val="none" w:sz="0" w:space="0" w:color="auto"/>
                <w:left w:val="none" w:sz="0" w:space="0" w:color="auto"/>
                <w:bottom w:val="none" w:sz="0" w:space="0" w:color="auto"/>
                <w:right w:val="none" w:sz="0" w:space="0" w:color="auto"/>
              </w:divBdr>
            </w:div>
          </w:divsChild>
        </w:div>
        <w:div w:id="847910639">
          <w:marLeft w:val="0"/>
          <w:marRight w:val="0"/>
          <w:marTop w:val="0"/>
          <w:marBottom w:val="0"/>
          <w:divBdr>
            <w:top w:val="none" w:sz="0" w:space="0" w:color="auto"/>
            <w:left w:val="none" w:sz="0" w:space="0" w:color="auto"/>
            <w:bottom w:val="none" w:sz="0" w:space="0" w:color="auto"/>
            <w:right w:val="none" w:sz="0" w:space="0" w:color="auto"/>
          </w:divBdr>
          <w:divsChild>
            <w:div w:id="615916428">
              <w:marLeft w:val="0"/>
              <w:marRight w:val="0"/>
              <w:marTop w:val="0"/>
              <w:marBottom w:val="0"/>
              <w:divBdr>
                <w:top w:val="none" w:sz="0" w:space="0" w:color="auto"/>
                <w:left w:val="none" w:sz="0" w:space="0" w:color="auto"/>
                <w:bottom w:val="none" w:sz="0" w:space="0" w:color="auto"/>
                <w:right w:val="none" w:sz="0" w:space="0" w:color="auto"/>
              </w:divBdr>
            </w:div>
          </w:divsChild>
        </w:div>
        <w:div w:id="1508984399">
          <w:marLeft w:val="0"/>
          <w:marRight w:val="0"/>
          <w:marTop w:val="0"/>
          <w:marBottom w:val="0"/>
          <w:divBdr>
            <w:top w:val="none" w:sz="0" w:space="0" w:color="auto"/>
            <w:left w:val="none" w:sz="0" w:space="0" w:color="auto"/>
            <w:bottom w:val="none" w:sz="0" w:space="0" w:color="auto"/>
            <w:right w:val="none" w:sz="0" w:space="0" w:color="auto"/>
          </w:divBdr>
          <w:divsChild>
            <w:div w:id="6856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countycoc.communityaction.us/news-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pereira@communityaction.us" TargetMode="External"/><Relationship Id="rId4" Type="http://schemas.openxmlformats.org/officeDocument/2006/relationships/numbering" Target="numbering.xml"/><Relationship Id="rId9" Type="http://schemas.openxmlformats.org/officeDocument/2006/relationships/hyperlink" Target="https://us02web.zoom.us/j/88480017452?pwd=akxyY3o1ak5naVV0RW9VSjZLcjZ0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1F401-733E-4A64-95A5-095B0C68CF43}">
  <ds:schemaRefs>
    <ds:schemaRef ds:uri="http://schemas.microsoft.com/sharepoint/v3/contenttype/forms"/>
  </ds:schemaRefs>
</ds:datastoreItem>
</file>

<file path=customXml/itemProps2.xml><?xml version="1.0" encoding="utf-8"?>
<ds:datastoreItem xmlns:ds="http://schemas.openxmlformats.org/officeDocument/2006/customXml" ds:itemID="{427BC54D-3757-4F79-AAAD-3DFB9046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6760A-77C4-4E26-94CB-38D570E74228}">
  <ds:schemaRefs>
    <ds:schemaRef ds:uri="http://schemas.microsoft.com/office/infopath/2007/PartnerControls"/>
    <ds:schemaRef ds:uri="34601aee-bbde-49f2-ad42-bc13d499bb79"/>
    <ds:schemaRef ds:uri="http://purl.org/dc/elements/1.1/"/>
    <ds:schemaRef ds:uri="http://schemas.microsoft.com/office/2006/metadata/properties"/>
    <ds:schemaRef ds:uri="2ed1e42b-3b16-4c4c-980e-db513e605f0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RFP Available: Wednesday, September 15, 2021</vt:lpstr>
      <vt:lpstr>        Bidder’s Conference: Tuesday, September 28, 2021, 3 p.m</vt:lpstr>
      <vt:lpstr>        Applications Due: Friday, October 15, 2021, 5 p.m.</vt:lpstr>
    </vt:vector>
  </TitlesOfParts>
  <Company>HP Inc.</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2</cp:revision>
  <dcterms:created xsi:type="dcterms:W3CDTF">2021-09-15T13:47:00Z</dcterms:created>
  <dcterms:modified xsi:type="dcterms:W3CDTF">2021-09-15T13:47:00Z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